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D9" w:rsidRDefault="00881FD9" w:rsidP="002C75AC">
      <w:pPr>
        <w:rPr>
          <w:color w:val="000000"/>
          <w:sz w:val="18"/>
          <w:szCs w:val="12"/>
        </w:rPr>
      </w:pPr>
    </w:p>
    <w:p w:rsidR="00881FD9" w:rsidRDefault="00881FD9" w:rsidP="002C75AC">
      <w:pPr>
        <w:rPr>
          <w:color w:val="000000"/>
          <w:sz w:val="18"/>
          <w:szCs w:val="12"/>
        </w:rPr>
      </w:pPr>
    </w:p>
    <w:p w:rsidR="00881FD9" w:rsidRDefault="00881FD9" w:rsidP="002C75AC">
      <w:pPr>
        <w:rPr>
          <w:color w:val="000000"/>
          <w:sz w:val="18"/>
          <w:szCs w:val="12"/>
        </w:rPr>
      </w:pPr>
    </w:p>
    <w:p w:rsidR="00881FD9" w:rsidRDefault="00881FD9" w:rsidP="002C75AC">
      <w:pPr>
        <w:rPr>
          <w:color w:val="000000"/>
          <w:sz w:val="18"/>
          <w:szCs w:val="12"/>
        </w:rPr>
      </w:pPr>
    </w:p>
    <w:p w:rsidR="00881FD9" w:rsidRDefault="00881FD9" w:rsidP="002C75AC">
      <w:pPr>
        <w:rPr>
          <w:color w:val="000000"/>
          <w:sz w:val="18"/>
          <w:szCs w:val="12"/>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881FD9" w:rsidRDefault="00C76625" w:rsidP="002C75AC">
      <w:pPr>
        <w:rPr>
          <w:rFonts w:ascii="Arial" w:hAnsi="Arial" w:cs="Arial"/>
          <w:color w:val="000000"/>
          <w:sz w:val="36"/>
          <w:szCs w:val="36"/>
        </w:rPr>
      </w:pPr>
      <w:r>
        <w:rPr>
          <w:rFonts w:ascii="Arial" w:hAnsi="Arial" w:cs="Arial"/>
          <w:color w:val="000000"/>
          <w:sz w:val="36"/>
          <w:szCs w:val="36"/>
        </w:rPr>
        <w:t>Pilot to Allow Solicitors to Instruct Experts in the Family Proceedings Court without Prior Authority</w:t>
      </w: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76625" w:rsidP="002C75AC">
      <w:pPr>
        <w:rPr>
          <w:rFonts w:ascii="Arial" w:hAnsi="Arial" w:cs="Arial"/>
          <w:color w:val="000000"/>
          <w:sz w:val="36"/>
          <w:szCs w:val="36"/>
        </w:rPr>
      </w:pPr>
    </w:p>
    <w:p w:rsidR="00C76625" w:rsidRDefault="00C64995" w:rsidP="002C75AC">
      <w:pPr>
        <w:rPr>
          <w:rFonts w:ascii="Arial" w:hAnsi="Arial" w:cs="Arial"/>
          <w:color w:val="000000"/>
          <w:sz w:val="36"/>
          <w:szCs w:val="36"/>
        </w:rPr>
      </w:pPr>
      <w:r>
        <w:rPr>
          <w:rFonts w:ascii="Arial" w:hAnsi="Arial" w:cs="Arial"/>
          <w:color w:val="000000"/>
          <w:sz w:val="36"/>
          <w:szCs w:val="36"/>
        </w:rPr>
        <w:t>March</w:t>
      </w:r>
      <w:r w:rsidR="000025B1">
        <w:rPr>
          <w:rFonts w:ascii="Arial" w:hAnsi="Arial" w:cs="Arial"/>
          <w:color w:val="000000"/>
          <w:sz w:val="36"/>
          <w:szCs w:val="36"/>
        </w:rPr>
        <w:t xml:space="preserve"> 2020</w:t>
      </w:r>
    </w:p>
    <w:p w:rsidR="00C76625" w:rsidRDefault="00C76625" w:rsidP="002C75AC">
      <w:pPr>
        <w:rPr>
          <w:rFonts w:ascii="Arial" w:hAnsi="Arial" w:cs="Arial"/>
          <w:color w:val="000000"/>
          <w:sz w:val="36"/>
          <w:szCs w:val="36"/>
        </w:rPr>
        <w:sectPr w:rsidR="00C76625" w:rsidSect="00C76625">
          <w:headerReference w:type="default" r:id="rId9"/>
          <w:footerReference w:type="even" r:id="rId10"/>
          <w:footerReference w:type="default" r:id="rId11"/>
          <w:pgSz w:w="11899" w:h="16838"/>
          <w:pgMar w:top="1418" w:right="1134" w:bottom="1701" w:left="1418" w:header="907" w:footer="174" w:gutter="0"/>
          <w:cols w:space="708"/>
          <w:docGrid w:linePitch="326"/>
        </w:sectPr>
      </w:pPr>
    </w:p>
    <w:p w:rsidR="00125B54" w:rsidRDefault="00125B54" w:rsidP="00C64995">
      <w:r>
        <w:lastRenderedPageBreak/>
        <w:t>Contents</w:t>
      </w:r>
    </w:p>
    <w:p w:rsidR="001B7FDD" w:rsidRDefault="00125B54">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4831773" w:history="1">
        <w:r w:rsidR="001B7FDD" w:rsidRPr="00EA6152">
          <w:rPr>
            <w:rStyle w:val="Hyperlink"/>
            <w:rFonts w:ascii="Arial" w:hAnsi="Arial" w:cs="Arial"/>
            <w:noProof/>
          </w:rPr>
          <w:t>1.</w:t>
        </w:r>
        <w:r w:rsidR="001B7FDD">
          <w:rPr>
            <w:rFonts w:asciiTheme="minorHAnsi" w:eastAsiaTheme="minorEastAsia" w:hAnsiTheme="minorHAnsi" w:cstheme="minorBidi"/>
            <w:noProof/>
            <w:sz w:val="22"/>
            <w:szCs w:val="22"/>
            <w:lang w:eastAsia="en-GB"/>
          </w:rPr>
          <w:tab/>
        </w:r>
        <w:r w:rsidR="001B7FDD" w:rsidRPr="00EA6152">
          <w:rPr>
            <w:rStyle w:val="Hyperlink"/>
            <w:noProof/>
          </w:rPr>
          <w:t>Speeding up Access to Justice</w:t>
        </w:r>
        <w:r w:rsidR="001B7FDD">
          <w:rPr>
            <w:noProof/>
            <w:webHidden/>
          </w:rPr>
          <w:tab/>
        </w:r>
        <w:r w:rsidR="001B7FDD">
          <w:rPr>
            <w:noProof/>
            <w:webHidden/>
          </w:rPr>
          <w:fldChar w:fldCharType="begin"/>
        </w:r>
        <w:r w:rsidR="001B7FDD">
          <w:rPr>
            <w:noProof/>
            <w:webHidden/>
          </w:rPr>
          <w:instrText xml:space="preserve"> PAGEREF _Toc34831773 \h </w:instrText>
        </w:r>
        <w:r w:rsidR="001B7FDD">
          <w:rPr>
            <w:noProof/>
            <w:webHidden/>
          </w:rPr>
        </w:r>
        <w:r w:rsidR="001B7FDD">
          <w:rPr>
            <w:noProof/>
            <w:webHidden/>
          </w:rPr>
          <w:fldChar w:fldCharType="separate"/>
        </w:r>
        <w:r w:rsidR="00954E3C">
          <w:rPr>
            <w:noProof/>
            <w:webHidden/>
          </w:rPr>
          <w:t>4</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74" w:history="1">
        <w:r w:rsidR="001B7FDD" w:rsidRPr="00EA6152">
          <w:rPr>
            <w:rStyle w:val="Hyperlink"/>
            <w:noProof/>
          </w:rPr>
          <w:t>2.</w:t>
        </w:r>
        <w:r w:rsidR="001B7FDD">
          <w:rPr>
            <w:rFonts w:asciiTheme="minorHAnsi" w:eastAsiaTheme="minorEastAsia" w:hAnsiTheme="minorHAnsi" w:cstheme="minorBidi"/>
            <w:noProof/>
            <w:sz w:val="22"/>
            <w:szCs w:val="22"/>
            <w:lang w:eastAsia="en-GB"/>
          </w:rPr>
          <w:tab/>
        </w:r>
        <w:r w:rsidR="001B7FDD" w:rsidRPr="00EA6152">
          <w:rPr>
            <w:rStyle w:val="Hyperlink"/>
            <w:noProof/>
          </w:rPr>
          <w:t>Pilot to Allow Solicitors to Instruct Experts Without Prior Authority in Public Law Proceedings in the Family Proceedings Court</w:t>
        </w:r>
        <w:r w:rsidR="001B7FDD">
          <w:rPr>
            <w:noProof/>
            <w:webHidden/>
          </w:rPr>
          <w:tab/>
        </w:r>
        <w:r w:rsidR="001B7FDD">
          <w:rPr>
            <w:noProof/>
            <w:webHidden/>
          </w:rPr>
          <w:fldChar w:fldCharType="begin"/>
        </w:r>
        <w:r w:rsidR="001B7FDD">
          <w:rPr>
            <w:noProof/>
            <w:webHidden/>
          </w:rPr>
          <w:instrText xml:space="preserve"> PAGEREF _Toc34831774 \h </w:instrText>
        </w:r>
        <w:r w:rsidR="001B7FDD">
          <w:rPr>
            <w:noProof/>
            <w:webHidden/>
          </w:rPr>
        </w:r>
        <w:r w:rsidR="001B7FDD">
          <w:rPr>
            <w:noProof/>
            <w:webHidden/>
          </w:rPr>
          <w:fldChar w:fldCharType="separate"/>
        </w:r>
        <w:r w:rsidR="00954E3C">
          <w:rPr>
            <w:noProof/>
            <w:webHidden/>
          </w:rPr>
          <w:t>4</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75" w:history="1">
        <w:r w:rsidR="001B7FDD" w:rsidRPr="00EA6152">
          <w:rPr>
            <w:rStyle w:val="Hyperlink"/>
            <w:noProof/>
          </w:rPr>
          <w:t>3.</w:t>
        </w:r>
        <w:r w:rsidR="001B7FDD">
          <w:rPr>
            <w:rFonts w:asciiTheme="minorHAnsi" w:eastAsiaTheme="minorEastAsia" w:hAnsiTheme="minorHAnsi" w:cstheme="minorBidi"/>
            <w:noProof/>
            <w:sz w:val="22"/>
            <w:szCs w:val="22"/>
            <w:lang w:eastAsia="en-GB"/>
          </w:rPr>
          <w:tab/>
        </w:r>
        <w:r w:rsidR="001B7FDD" w:rsidRPr="00EA6152">
          <w:rPr>
            <w:rStyle w:val="Hyperlink"/>
            <w:noProof/>
          </w:rPr>
          <w:t>The Court Tier and case types to be included in the Pilot</w:t>
        </w:r>
        <w:r w:rsidR="001B7FDD">
          <w:rPr>
            <w:noProof/>
            <w:webHidden/>
          </w:rPr>
          <w:tab/>
        </w:r>
        <w:r w:rsidR="001B7FDD">
          <w:rPr>
            <w:noProof/>
            <w:webHidden/>
          </w:rPr>
          <w:fldChar w:fldCharType="begin"/>
        </w:r>
        <w:r w:rsidR="001B7FDD">
          <w:rPr>
            <w:noProof/>
            <w:webHidden/>
          </w:rPr>
          <w:instrText xml:space="preserve"> PAGEREF _Toc34831775 \h </w:instrText>
        </w:r>
        <w:r w:rsidR="001B7FDD">
          <w:rPr>
            <w:noProof/>
            <w:webHidden/>
          </w:rPr>
        </w:r>
        <w:r w:rsidR="001B7FDD">
          <w:rPr>
            <w:noProof/>
            <w:webHidden/>
          </w:rPr>
          <w:fldChar w:fldCharType="separate"/>
        </w:r>
        <w:r w:rsidR="00954E3C">
          <w:rPr>
            <w:noProof/>
            <w:webHidden/>
          </w:rPr>
          <w:t>5</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76" w:history="1">
        <w:r w:rsidR="001B7FDD" w:rsidRPr="00EA6152">
          <w:rPr>
            <w:rStyle w:val="Hyperlink"/>
            <w:noProof/>
          </w:rPr>
          <w:t>4.</w:t>
        </w:r>
        <w:r w:rsidR="001B7FDD">
          <w:rPr>
            <w:rFonts w:asciiTheme="minorHAnsi" w:eastAsiaTheme="minorEastAsia" w:hAnsiTheme="minorHAnsi" w:cstheme="minorBidi"/>
            <w:noProof/>
            <w:sz w:val="22"/>
            <w:szCs w:val="22"/>
            <w:lang w:eastAsia="en-GB"/>
          </w:rPr>
          <w:tab/>
        </w:r>
        <w:r w:rsidR="001B7FDD" w:rsidRPr="00EA6152">
          <w:rPr>
            <w:rStyle w:val="Hyperlink"/>
            <w:noProof/>
          </w:rPr>
          <w:t>The Expert Types to be included in the Pilot</w:t>
        </w:r>
        <w:r w:rsidR="001B7FDD">
          <w:rPr>
            <w:noProof/>
            <w:webHidden/>
          </w:rPr>
          <w:tab/>
        </w:r>
        <w:r w:rsidR="001B7FDD">
          <w:rPr>
            <w:noProof/>
            <w:webHidden/>
          </w:rPr>
          <w:fldChar w:fldCharType="begin"/>
        </w:r>
        <w:r w:rsidR="001B7FDD">
          <w:rPr>
            <w:noProof/>
            <w:webHidden/>
          </w:rPr>
          <w:instrText xml:space="preserve"> PAGEREF _Toc34831776 \h </w:instrText>
        </w:r>
        <w:r w:rsidR="001B7FDD">
          <w:rPr>
            <w:noProof/>
            <w:webHidden/>
          </w:rPr>
        </w:r>
        <w:r w:rsidR="001B7FDD">
          <w:rPr>
            <w:noProof/>
            <w:webHidden/>
          </w:rPr>
          <w:fldChar w:fldCharType="separate"/>
        </w:r>
        <w:r w:rsidR="00954E3C">
          <w:rPr>
            <w:noProof/>
            <w:webHidden/>
          </w:rPr>
          <w:t>5</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77" w:history="1">
        <w:r w:rsidR="001B7FDD" w:rsidRPr="00EA6152">
          <w:rPr>
            <w:rStyle w:val="Hyperlink"/>
            <w:noProof/>
          </w:rPr>
          <w:t>5.</w:t>
        </w:r>
        <w:r w:rsidR="001B7FDD">
          <w:rPr>
            <w:rFonts w:asciiTheme="minorHAnsi" w:eastAsiaTheme="minorEastAsia" w:hAnsiTheme="minorHAnsi" w:cstheme="minorBidi"/>
            <w:noProof/>
            <w:sz w:val="22"/>
            <w:szCs w:val="22"/>
            <w:lang w:eastAsia="en-GB"/>
          </w:rPr>
          <w:tab/>
        </w:r>
        <w:r w:rsidR="001B7FDD" w:rsidRPr="00EA6152">
          <w:rPr>
            <w:rStyle w:val="Hyperlink"/>
            <w:noProof/>
          </w:rPr>
          <w:t>The Hourly rate to be Allowed</w:t>
        </w:r>
        <w:r w:rsidR="001B7FDD">
          <w:rPr>
            <w:noProof/>
            <w:webHidden/>
          </w:rPr>
          <w:tab/>
        </w:r>
        <w:r w:rsidR="001B7FDD">
          <w:rPr>
            <w:noProof/>
            <w:webHidden/>
          </w:rPr>
          <w:fldChar w:fldCharType="begin"/>
        </w:r>
        <w:r w:rsidR="001B7FDD">
          <w:rPr>
            <w:noProof/>
            <w:webHidden/>
          </w:rPr>
          <w:instrText xml:space="preserve"> PAGEREF _Toc34831777 \h </w:instrText>
        </w:r>
        <w:r w:rsidR="001B7FDD">
          <w:rPr>
            <w:noProof/>
            <w:webHidden/>
          </w:rPr>
        </w:r>
        <w:r w:rsidR="001B7FDD">
          <w:rPr>
            <w:noProof/>
            <w:webHidden/>
          </w:rPr>
          <w:fldChar w:fldCharType="separate"/>
        </w:r>
        <w:r w:rsidR="00954E3C">
          <w:rPr>
            <w:noProof/>
            <w:webHidden/>
          </w:rPr>
          <w:t>6</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78" w:history="1">
        <w:r w:rsidR="001B7FDD" w:rsidRPr="00EA6152">
          <w:rPr>
            <w:rStyle w:val="Hyperlink"/>
            <w:noProof/>
          </w:rPr>
          <w:t>6.</w:t>
        </w:r>
        <w:r w:rsidR="001B7FDD">
          <w:rPr>
            <w:rFonts w:asciiTheme="minorHAnsi" w:eastAsiaTheme="minorEastAsia" w:hAnsiTheme="minorHAnsi" w:cstheme="minorBidi"/>
            <w:noProof/>
            <w:sz w:val="22"/>
            <w:szCs w:val="22"/>
            <w:lang w:eastAsia="en-GB"/>
          </w:rPr>
          <w:tab/>
        </w:r>
        <w:r w:rsidR="001B7FDD" w:rsidRPr="00EA6152">
          <w:rPr>
            <w:rStyle w:val="Hyperlink"/>
            <w:noProof/>
          </w:rPr>
          <w:t>Higher Hourly Rates in Exceptional Circumstances</w:t>
        </w:r>
        <w:r w:rsidR="001B7FDD">
          <w:rPr>
            <w:noProof/>
            <w:webHidden/>
          </w:rPr>
          <w:tab/>
        </w:r>
        <w:r w:rsidR="001B7FDD">
          <w:rPr>
            <w:noProof/>
            <w:webHidden/>
          </w:rPr>
          <w:fldChar w:fldCharType="begin"/>
        </w:r>
        <w:r w:rsidR="001B7FDD">
          <w:rPr>
            <w:noProof/>
            <w:webHidden/>
          </w:rPr>
          <w:instrText xml:space="preserve"> PAGEREF _Toc34831778 \h </w:instrText>
        </w:r>
        <w:r w:rsidR="001B7FDD">
          <w:rPr>
            <w:noProof/>
            <w:webHidden/>
          </w:rPr>
        </w:r>
        <w:r w:rsidR="001B7FDD">
          <w:rPr>
            <w:noProof/>
            <w:webHidden/>
          </w:rPr>
          <w:fldChar w:fldCharType="separate"/>
        </w:r>
        <w:r w:rsidR="00954E3C">
          <w:rPr>
            <w:noProof/>
            <w:webHidden/>
          </w:rPr>
          <w:t>6</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79" w:history="1">
        <w:r w:rsidR="001B7FDD" w:rsidRPr="00EA6152">
          <w:rPr>
            <w:rStyle w:val="Hyperlink"/>
            <w:noProof/>
          </w:rPr>
          <w:t>7.</w:t>
        </w:r>
        <w:r w:rsidR="001B7FDD">
          <w:rPr>
            <w:rFonts w:asciiTheme="minorHAnsi" w:eastAsiaTheme="minorEastAsia" w:hAnsiTheme="minorHAnsi" w:cstheme="minorBidi"/>
            <w:noProof/>
            <w:sz w:val="22"/>
            <w:szCs w:val="22"/>
            <w:lang w:eastAsia="en-GB"/>
          </w:rPr>
          <w:tab/>
        </w:r>
        <w:r w:rsidR="001B7FDD" w:rsidRPr="00EA6152">
          <w:rPr>
            <w:rStyle w:val="Hyperlink"/>
            <w:noProof/>
          </w:rPr>
          <w:t>The Number of Hours to be Allowed</w:t>
        </w:r>
        <w:r w:rsidR="001B7FDD">
          <w:rPr>
            <w:noProof/>
            <w:webHidden/>
          </w:rPr>
          <w:tab/>
        </w:r>
        <w:r w:rsidR="001B7FDD">
          <w:rPr>
            <w:noProof/>
            <w:webHidden/>
          </w:rPr>
          <w:fldChar w:fldCharType="begin"/>
        </w:r>
        <w:r w:rsidR="001B7FDD">
          <w:rPr>
            <w:noProof/>
            <w:webHidden/>
          </w:rPr>
          <w:instrText xml:space="preserve"> PAGEREF _Toc34831779 \h </w:instrText>
        </w:r>
        <w:r w:rsidR="001B7FDD">
          <w:rPr>
            <w:noProof/>
            <w:webHidden/>
          </w:rPr>
        </w:r>
        <w:r w:rsidR="001B7FDD">
          <w:rPr>
            <w:noProof/>
            <w:webHidden/>
          </w:rPr>
          <w:fldChar w:fldCharType="separate"/>
        </w:r>
        <w:r w:rsidR="00954E3C">
          <w:rPr>
            <w:noProof/>
            <w:webHidden/>
          </w:rPr>
          <w:t>7</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80" w:history="1">
        <w:r w:rsidR="001B7FDD" w:rsidRPr="00EA6152">
          <w:rPr>
            <w:rStyle w:val="Hyperlink"/>
            <w:noProof/>
          </w:rPr>
          <w:t>8.</w:t>
        </w:r>
        <w:r w:rsidR="001B7FDD">
          <w:rPr>
            <w:rFonts w:asciiTheme="minorHAnsi" w:eastAsiaTheme="minorEastAsia" w:hAnsiTheme="minorHAnsi" w:cstheme="minorBidi"/>
            <w:noProof/>
            <w:sz w:val="22"/>
            <w:szCs w:val="22"/>
            <w:lang w:eastAsia="en-GB"/>
          </w:rPr>
          <w:tab/>
        </w:r>
        <w:r w:rsidR="001B7FDD" w:rsidRPr="00EA6152">
          <w:rPr>
            <w:rStyle w:val="Hyperlink"/>
            <w:noProof/>
          </w:rPr>
          <w:t>Court Attendance</w:t>
        </w:r>
        <w:r w:rsidR="001B7FDD">
          <w:rPr>
            <w:noProof/>
            <w:webHidden/>
          </w:rPr>
          <w:tab/>
        </w:r>
        <w:r w:rsidR="001B7FDD">
          <w:rPr>
            <w:noProof/>
            <w:webHidden/>
          </w:rPr>
          <w:fldChar w:fldCharType="begin"/>
        </w:r>
        <w:r w:rsidR="001B7FDD">
          <w:rPr>
            <w:noProof/>
            <w:webHidden/>
          </w:rPr>
          <w:instrText xml:space="preserve"> PAGEREF _Toc34831780 \h </w:instrText>
        </w:r>
        <w:r w:rsidR="001B7FDD">
          <w:rPr>
            <w:noProof/>
            <w:webHidden/>
          </w:rPr>
        </w:r>
        <w:r w:rsidR="001B7FDD">
          <w:rPr>
            <w:noProof/>
            <w:webHidden/>
          </w:rPr>
          <w:fldChar w:fldCharType="separate"/>
        </w:r>
        <w:r w:rsidR="00954E3C">
          <w:rPr>
            <w:noProof/>
            <w:webHidden/>
          </w:rPr>
          <w:t>8</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81" w:history="1">
        <w:r w:rsidR="001B7FDD" w:rsidRPr="00EA6152">
          <w:rPr>
            <w:rStyle w:val="Hyperlink"/>
            <w:noProof/>
          </w:rPr>
          <w:t>9.</w:t>
        </w:r>
        <w:r w:rsidR="001B7FDD">
          <w:rPr>
            <w:rFonts w:asciiTheme="minorHAnsi" w:eastAsiaTheme="minorEastAsia" w:hAnsiTheme="minorHAnsi" w:cstheme="minorBidi"/>
            <w:noProof/>
            <w:sz w:val="22"/>
            <w:szCs w:val="22"/>
            <w:lang w:eastAsia="en-GB"/>
          </w:rPr>
          <w:tab/>
        </w:r>
        <w:r w:rsidR="001B7FDD" w:rsidRPr="00EA6152">
          <w:rPr>
            <w:rStyle w:val="Hyperlink"/>
            <w:noProof/>
          </w:rPr>
          <w:t>Impact Assessments</w:t>
        </w:r>
        <w:r w:rsidR="001B7FDD">
          <w:rPr>
            <w:noProof/>
            <w:webHidden/>
          </w:rPr>
          <w:tab/>
        </w:r>
        <w:r w:rsidR="001B7FDD">
          <w:rPr>
            <w:noProof/>
            <w:webHidden/>
          </w:rPr>
          <w:fldChar w:fldCharType="begin"/>
        </w:r>
        <w:r w:rsidR="001B7FDD">
          <w:rPr>
            <w:noProof/>
            <w:webHidden/>
          </w:rPr>
          <w:instrText xml:space="preserve"> PAGEREF _Toc34831781 \h </w:instrText>
        </w:r>
        <w:r w:rsidR="001B7FDD">
          <w:rPr>
            <w:noProof/>
            <w:webHidden/>
          </w:rPr>
        </w:r>
        <w:r w:rsidR="001B7FDD">
          <w:rPr>
            <w:noProof/>
            <w:webHidden/>
          </w:rPr>
          <w:fldChar w:fldCharType="separate"/>
        </w:r>
        <w:r w:rsidR="00954E3C">
          <w:rPr>
            <w:noProof/>
            <w:webHidden/>
          </w:rPr>
          <w:t>8</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82" w:history="1">
        <w:r w:rsidR="001B7FDD" w:rsidRPr="00EA6152">
          <w:rPr>
            <w:rStyle w:val="Hyperlink"/>
            <w:noProof/>
          </w:rPr>
          <w:t>10.</w:t>
        </w:r>
        <w:r w:rsidR="001B7FDD">
          <w:rPr>
            <w:rFonts w:asciiTheme="minorHAnsi" w:eastAsiaTheme="minorEastAsia" w:hAnsiTheme="minorHAnsi" w:cstheme="minorBidi"/>
            <w:noProof/>
            <w:sz w:val="22"/>
            <w:szCs w:val="22"/>
            <w:lang w:eastAsia="en-GB"/>
          </w:rPr>
          <w:tab/>
        </w:r>
        <w:r w:rsidR="001B7FDD" w:rsidRPr="00EA6152">
          <w:rPr>
            <w:rStyle w:val="Hyperlink"/>
            <w:noProof/>
          </w:rPr>
          <w:t>Evaluation of the Pilot</w:t>
        </w:r>
        <w:r w:rsidR="001B7FDD">
          <w:rPr>
            <w:noProof/>
            <w:webHidden/>
          </w:rPr>
          <w:tab/>
        </w:r>
        <w:r w:rsidR="001B7FDD">
          <w:rPr>
            <w:noProof/>
            <w:webHidden/>
          </w:rPr>
          <w:fldChar w:fldCharType="begin"/>
        </w:r>
        <w:r w:rsidR="001B7FDD">
          <w:rPr>
            <w:noProof/>
            <w:webHidden/>
          </w:rPr>
          <w:instrText xml:space="preserve"> PAGEREF _Toc34831782 \h </w:instrText>
        </w:r>
        <w:r w:rsidR="001B7FDD">
          <w:rPr>
            <w:noProof/>
            <w:webHidden/>
          </w:rPr>
        </w:r>
        <w:r w:rsidR="001B7FDD">
          <w:rPr>
            <w:noProof/>
            <w:webHidden/>
          </w:rPr>
          <w:fldChar w:fldCharType="separate"/>
        </w:r>
        <w:r w:rsidR="00954E3C">
          <w:rPr>
            <w:noProof/>
            <w:webHidden/>
          </w:rPr>
          <w:t>9</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83" w:history="1">
        <w:r w:rsidR="001B7FDD" w:rsidRPr="00EA6152">
          <w:rPr>
            <w:rStyle w:val="Hyperlink"/>
            <w:noProof/>
          </w:rPr>
          <w:t>11.</w:t>
        </w:r>
        <w:r w:rsidR="001B7FDD">
          <w:rPr>
            <w:rFonts w:asciiTheme="minorHAnsi" w:eastAsiaTheme="minorEastAsia" w:hAnsiTheme="minorHAnsi" w:cstheme="minorBidi"/>
            <w:noProof/>
            <w:sz w:val="22"/>
            <w:szCs w:val="22"/>
            <w:lang w:eastAsia="en-GB"/>
          </w:rPr>
          <w:tab/>
        </w:r>
        <w:r w:rsidR="001B7FDD" w:rsidRPr="00EA6152">
          <w:rPr>
            <w:rStyle w:val="Hyperlink"/>
            <w:noProof/>
          </w:rPr>
          <w:t>Responding to the Consultation</w:t>
        </w:r>
        <w:r w:rsidR="001B7FDD">
          <w:rPr>
            <w:noProof/>
            <w:webHidden/>
          </w:rPr>
          <w:tab/>
        </w:r>
        <w:r w:rsidR="001B7FDD">
          <w:rPr>
            <w:noProof/>
            <w:webHidden/>
          </w:rPr>
          <w:fldChar w:fldCharType="begin"/>
        </w:r>
        <w:r w:rsidR="001B7FDD">
          <w:rPr>
            <w:noProof/>
            <w:webHidden/>
          </w:rPr>
          <w:instrText xml:space="preserve"> PAGEREF _Toc34831783 \h </w:instrText>
        </w:r>
        <w:r w:rsidR="001B7FDD">
          <w:rPr>
            <w:noProof/>
            <w:webHidden/>
          </w:rPr>
        </w:r>
        <w:r w:rsidR="001B7FDD">
          <w:rPr>
            <w:noProof/>
            <w:webHidden/>
          </w:rPr>
          <w:fldChar w:fldCharType="separate"/>
        </w:r>
        <w:r w:rsidR="00954E3C">
          <w:rPr>
            <w:noProof/>
            <w:webHidden/>
          </w:rPr>
          <w:t>10</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84" w:history="1">
        <w:r w:rsidR="001B7FDD" w:rsidRPr="00EA6152">
          <w:rPr>
            <w:rStyle w:val="Hyperlink"/>
            <w:noProof/>
          </w:rPr>
          <w:t xml:space="preserve">12. </w:t>
        </w:r>
        <w:r w:rsidR="001B7FDD">
          <w:rPr>
            <w:rFonts w:asciiTheme="minorHAnsi" w:eastAsiaTheme="minorEastAsia" w:hAnsiTheme="minorHAnsi" w:cstheme="minorBidi"/>
            <w:noProof/>
            <w:sz w:val="22"/>
            <w:szCs w:val="22"/>
            <w:lang w:eastAsia="en-GB"/>
          </w:rPr>
          <w:tab/>
        </w:r>
        <w:r w:rsidR="001B7FDD" w:rsidRPr="00EA6152">
          <w:rPr>
            <w:rStyle w:val="Hyperlink"/>
            <w:noProof/>
          </w:rPr>
          <w:t>Privacy, Confidentiality and Access to Consultation Responses</w:t>
        </w:r>
        <w:r w:rsidR="001B7FDD">
          <w:rPr>
            <w:noProof/>
            <w:webHidden/>
          </w:rPr>
          <w:tab/>
        </w:r>
        <w:r w:rsidR="001B7FDD">
          <w:rPr>
            <w:noProof/>
            <w:webHidden/>
          </w:rPr>
          <w:fldChar w:fldCharType="begin"/>
        </w:r>
        <w:r w:rsidR="001B7FDD">
          <w:rPr>
            <w:noProof/>
            <w:webHidden/>
          </w:rPr>
          <w:instrText xml:space="preserve"> PAGEREF _Toc34831784 \h </w:instrText>
        </w:r>
        <w:r w:rsidR="001B7FDD">
          <w:rPr>
            <w:noProof/>
            <w:webHidden/>
          </w:rPr>
        </w:r>
        <w:r w:rsidR="001B7FDD">
          <w:rPr>
            <w:noProof/>
            <w:webHidden/>
          </w:rPr>
          <w:fldChar w:fldCharType="separate"/>
        </w:r>
        <w:r w:rsidR="00954E3C">
          <w:rPr>
            <w:noProof/>
            <w:webHidden/>
          </w:rPr>
          <w:t>11</w:t>
        </w:r>
        <w:r w:rsidR="001B7FDD">
          <w:rPr>
            <w:noProof/>
            <w:webHidden/>
          </w:rPr>
          <w:fldChar w:fldCharType="end"/>
        </w:r>
      </w:hyperlink>
    </w:p>
    <w:p w:rsidR="001B7FDD" w:rsidRDefault="0025212C">
      <w:pPr>
        <w:pStyle w:val="TOC1"/>
        <w:rPr>
          <w:rFonts w:asciiTheme="minorHAnsi" w:eastAsiaTheme="minorEastAsia" w:hAnsiTheme="minorHAnsi" w:cstheme="minorBidi"/>
          <w:noProof/>
          <w:sz w:val="22"/>
          <w:szCs w:val="22"/>
          <w:lang w:eastAsia="en-GB"/>
        </w:rPr>
      </w:pPr>
      <w:hyperlink w:anchor="_Toc34831785" w:history="1">
        <w:r w:rsidR="001B7FDD" w:rsidRPr="00EA6152">
          <w:rPr>
            <w:rStyle w:val="Hyperlink"/>
            <w:noProof/>
          </w:rPr>
          <w:t>13.</w:t>
        </w:r>
        <w:r w:rsidR="001B7FDD">
          <w:rPr>
            <w:rFonts w:asciiTheme="minorHAnsi" w:eastAsiaTheme="minorEastAsia" w:hAnsiTheme="minorHAnsi" w:cstheme="minorBidi"/>
            <w:noProof/>
            <w:sz w:val="22"/>
            <w:szCs w:val="22"/>
            <w:lang w:eastAsia="en-GB"/>
          </w:rPr>
          <w:tab/>
        </w:r>
        <w:r w:rsidR="001B7FDD" w:rsidRPr="00EA6152">
          <w:rPr>
            <w:rStyle w:val="Hyperlink"/>
            <w:noProof/>
          </w:rPr>
          <w:t>Next Steps</w:t>
        </w:r>
        <w:r w:rsidR="001B7FDD">
          <w:rPr>
            <w:noProof/>
            <w:webHidden/>
          </w:rPr>
          <w:tab/>
        </w:r>
        <w:r w:rsidR="001B7FDD">
          <w:rPr>
            <w:noProof/>
            <w:webHidden/>
          </w:rPr>
          <w:fldChar w:fldCharType="begin"/>
        </w:r>
        <w:r w:rsidR="001B7FDD">
          <w:rPr>
            <w:noProof/>
            <w:webHidden/>
          </w:rPr>
          <w:instrText xml:space="preserve"> PAGEREF _Toc34831785 \h </w:instrText>
        </w:r>
        <w:r w:rsidR="001B7FDD">
          <w:rPr>
            <w:noProof/>
            <w:webHidden/>
          </w:rPr>
        </w:r>
        <w:r w:rsidR="001B7FDD">
          <w:rPr>
            <w:noProof/>
            <w:webHidden/>
          </w:rPr>
          <w:fldChar w:fldCharType="separate"/>
        </w:r>
        <w:r w:rsidR="00954E3C">
          <w:rPr>
            <w:noProof/>
            <w:webHidden/>
          </w:rPr>
          <w:t>11</w:t>
        </w:r>
        <w:r w:rsidR="001B7FDD">
          <w:rPr>
            <w:noProof/>
            <w:webHidden/>
          </w:rPr>
          <w:fldChar w:fldCharType="end"/>
        </w:r>
      </w:hyperlink>
    </w:p>
    <w:p w:rsidR="00125B54" w:rsidRDefault="00125B54">
      <w:r>
        <w:rPr>
          <w:b/>
          <w:bCs/>
          <w:noProof/>
        </w:rPr>
        <w:fldChar w:fldCharType="end"/>
      </w:r>
    </w:p>
    <w:p w:rsidR="001D3947" w:rsidRDefault="00C64995" w:rsidP="00C76625">
      <w:pPr>
        <w:rPr>
          <w:rFonts w:ascii="Arial" w:hAnsi="Arial" w:cs="Arial"/>
          <w:b/>
          <w:sz w:val="28"/>
          <w:szCs w:val="28"/>
        </w:rPr>
      </w:pPr>
      <w:r>
        <w:rPr>
          <w:rFonts w:ascii="Arial" w:hAnsi="Arial" w:cs="Arial"/>
          <w:b/>
          <w:sz w:val="28"/>
          <w:szCs w:val="28"/>
        </w:rPr>
        <w:br w:type="page"/>
      </w:r>
    </w:p>
    <w:p w:rsidR="0009122E" w:rsidRDefault="0009122E" w:rsidP="0009122E">
      <w:pPr>
        <w:rPr>
          <w:rFonts w:ascii="Arial" w:hAnsi="Arial" w:cs="Arial"/>
          <w:b/>
          <w:sz w:val="28"/>
          <w:szCs w:val="28"/>
        </w:rPr>
      </w:pPr>
      <w:r>
        <w:rPr>
          <w:rFonts w:ascii="Arial" w:hAnsi="Arial" w:cs="Arial"/>
          <w:b/>
          <w:sz w:val="28"/>
          <w:szCs w:val="28"/>
        </w:rPr>
        <w:t>Ministerial Foreword</w:t>
      </w:r>
    </w:p>
    <w:p w:rsidR="0009122E" w:rsidRDefault="0009122E" w:rsidP="0009122E">
      <w:pPr>
        <w:rPr>
          <w:rFonts w:ascii="Arial" w:hAnsi="Arial" w:cs="Arial"/>
          <w:b/>
          <w:sz w:val="28"/>
          <w:szCs w:val="28"/>
        </w:rPr>
      </w:pPr>
    </w:p>
    <w:p w:rsidR="0009122E" w:rsidRPr="001D3947" w:rsidRDefault="0009122E" w:rsidP="0009122E">
      <w:pPr>
        <w:spacing w:line="360" w:lineRule="auto"/>
        <w:rPr>
          <w:rFonts w:ascii="Arial" w:hAnsi="Arial" w:cs="Arial"/>
        </w:rPr>
      </w:pPr>
      <w:r w:rsidRPr="001D3947">
        <w:rPr>
          <w:rFonts w:ascii="Arial" w:hAnsi="Arial" w:cs="Arial"/>
        </w:rPr>
        <w:t>I am pleased to launch this consultation for a pilot allowing experts to be appointed without prior authority for legal aid in public law Children Order cases in the Family Proceedings Court.</w:t>
      </w:r>
    </w:p>
    <w:p w:rsidR="0009122E" w:rsidRPr="001D3947" w:rsidRDefault="0009122E" w:rsidP="0009122E">
      <w:pPr>
        <w:spacing w:line="360" w:lineRule="auto"/>
        <w:rPr>
          <w:rFonts w:ascii="Arial" w:hAnsi="Arial" w:cs="Arial"/>
        </w:rPr>
      </w:pPr>
    </w:p>
    <w:p w:rsidR="0009122E" w:rsidRPr="001D3947" w:rsidRDefault="0009122E" w:rsidP="0009122E">
      <w:pPr>
        <w:spacing w:line="360" w:lineRule="auto"/>
        <w:rPr>
          <w:rFonts w:ascii="Arial" w:hAnsi="Arial" w:cs="Arial"/>
        </w:rPr>
      </w:pPr>
      <w:r w:rsidRPr="001D3947">
        <w:rPr>
          <w:rFonts w:ascii="Arial" w:hAnsi="Arial" w:cs="Arial"/>
        </w:rPr>
        <w:t>The proposals have two key objectives.  They are designed to standardise hourly rates, but also to speed up access to justice</w:t>
      </w:r>
      <w:r>
        <w:rPr>
          <w:rFonts w:ascii="Arial" w:hAnsi="Arial" w:cs="Arial"/>
        </w:rPr>
        <w:t xml:space="preserve"> by allowing the instruction of experts without the need for legal aid approval for routine cases</w:t>
      </w:r>
      <w:r w:rsidRPr="001D3947">
        <w:rPr>
          <w:rFonts w:ascii="Arial" w:hAnsi="Arial" w:cs="Arial"/>
        </w:rPr>
        <w:t>.</w:t>
      </w:r>
    </w:p>
    <w:p w:rsidR="0009122E" w:rsidRPr="001D3947" w:rsidRDefault="0009122E" w:rsidP="0009122E">
      <w:pPr>
        <w:spacing w:line="360" w:lineRule="auto"/>
        <w:rPr>
          <w:rFonts w:ascii="Arial" w:hAnsi="Arial" w:cs="Arial"/>
        </w:rPr>
      </w:pPr>
    </w:p>
    <w:p w:rsidR="0009122E" w:rsidRDefault="0009122E" w:rsidP="0009122E">
      <w:pPr>
        <w:spacing w:line="360" w:lineRule="auto"/>
        <w:rPr>
          <w:rFonts w:ascii="Arial" w:hAnsi="Arial" w:cs="Arial"/>
        </w:rPr>
      </w:pPr>
      <w:r w:rsidRPr="001D3947">
        <w:rPr>
          <w:rFonts w:ascii="Arial" w:hAnsi="Arial" w:cs="Arial"/>
        </w:rPr>
        <w:t xml:space="preserve">Public </w:t>
      </w:r>
      <w:r w:rsidR="0025212C">
        <w:rPr>
          <w:rFonts w:ascii="Arial" w:hAnsi="Arial" w:cs="Arial"/>
        </w:rPr>
        <w:t>l</w:t>
      </w:r>
      <w:bookmarkStart w:id="0" w:name="_GoBack"/>
      <w:bookmarkEnd w:id="0"/>
      <w:r w:rsidRPr="001D3947">
        <w:rPr>
          <w:rFonts w:ascii="Arial" w:hAnsi="Arial" w:cs="Arial"/>
        </w:rPr>
        <w:t xml:space="preserve">aw Children Order cases </w:t>
      </w:r>
      <w:r w:rsidR="00981E17">
        <w:rPr>
          <w:rFonts w:ascii="Arial" w:hAnsi="Arial" w:cs="Arial"/>
        </w:rPr>
        <w:t>arise when a</w:t>
      </w:r>
      <w:r w:rsidRPr="001D3947">
        <w:rPr>
          <w:rFonts w:ascii="Arial" w:hAnsi="Arial" w:cs="Arial"/>
        </w:rPr>
        <w:t xml:space="preserve"> Health and Social Care Trust or other public body has intervened to protect a child from harm</w:t>
      </w:r>
      <w:r>
        <w:rPr>
          <w:rFonts w:ascii="Arial" w:hAnsi="Arial" w:cs="Arial"/>
        </w:rPr>
        <w:t>.</w:t>
      </w:r>
      <w:r w:rsidRPr="001D3947">
        <w:rPr>
          <w:rFonts w:ascii="Arial" w:hAnsi="Arial" w:cs="Arial"/>
        </w:rPr>
        <w:t xml:space="preserve">  </w:t>
      </w:r>
    </w:p>
    <w:p w:rsidR="0009122E" w:rsidRDefault="0009122E" w:rsidP="0009122E">
      <w:pPr>
        <w:spacing w:line="360" w:lineRule="auto"/>
        <w:rPr>
          <w:rFonts w:ascii="Arial" w:hAnsi="Arial" w:cs="Arial"/>
        </w:rPr>
      </w:pPr>
    </w:p>
    <w:p w:rsidR="0009122E" w:rsidRPr="001D3947" w:rsidRDefault="0009122E" w:rsidP="0009122E">
      <w:pPr>
        <w:spacing w:line="360" w:lineRule="auto"/>
        <w:rPr>
          <w:rFonts w:ascii="Arial" w:hAnsi="Arial" w:cs="Arial"/>
        </w:rPr>
      </w:pPr>
      <w:r>
        <w:rPr>
          <w:rFonts w:ascii="Arial" w:hAnsi="Arial" w:cs="Arial"/>
        </w:rPr>
        <w:t xml:space="preserve">Expert evidence is often of significant benefit to the Judiciary in making its decisions which are of fundamental importance to the child and the family in the case before the courts.  Often the experts are able to advise of interventions which will help parents, or other family members, </w:t>
      </w:r>
      <w:r w:rsidR="00E76E46">
        <w:rPr>
          <w:rFonts w:ascii="Arial" w:hAnsi="Arial" w:cs="Arial"/>
        </w:rPr>
        <w:t xml:space="preserve">and </w:t>
      </w:r>
      <w:r>
        <w:rPr>
          <w:rFonts w:ascii="Arial" w:hAnsi="Arial" w:cs="Arial"/>
        </w:rPr>
        <w:t xml:space="preserve">address shortcomings in their parenting skills with the best outcomes for the child/children and the family.  </w:t>
      </w:r>
      <w:r w:rsidRPr="001D3947">
        <w:rPr>
          <w:rFonts w:ascii="Arial" w:hAnsi="Arial" w:cs="Arial"/>
        </w:rPr>
        <w:t xml:space="preserve">   </w:t>
      </w:r>
    </w:p>
    <w:p w:rsidR="0009122E" w:rsidRDefault="0009122E" w:rsidP="0009122E">
      <w:pPr>
        <w:spacing w:line="360" w:lineRule="auto"/>
        <w:rPr>
          <w:rFonts w:ascii="Arial" w:hAnsi="Arial" w:cs="Arial"/>
          <w:b/>
        </w:rPr>
      </w:pPr>
    </w:p>
    <w:p w:rsidR="0009122E" w:rsidRDefault="0009122E" w:rsidP="0009122E">
      <w:pPr>
        <w:spacing w:line="360" w:lineRule="auto"/>
        <w:rPr>
          <w:rFonts w:ascii="Arial" w:hAnsi="Arial" w:cs="Arial"/>
        </w:rPr>
      </w:pPr>
      <w:r>
        <w:rPr>
          <w:rFonts w:ascii="Arial" w:hAnsi="Arial" w:cs="Arial"/>
        </w:rPr>
        <w:t xml:space="preserve">It is important for the children and families in those proceedings that the proper interventions are made in a timely manner and speedy access to expert reports will assist this.  </w:t>
      </w:r>
    </w:p>
    <w:p w:rsidR="0009122E" w:rsidRDefault="0009122E" w:rsidP="0009122E">
      <w:pPr>
        <w:spacing w:line="360" w:lineRule="auto"/>
        <w:rPr>
          <w:rFonts w:ascii="Arial" w:hAnsi="Arial" w:cs="Arial"/>
          <w:b/>
        </w:rPr>
      </w:pPr>
    </w:p>
    <w:p w:rsidR="0009122E" w:rsidRDefault="0009122E" w:rsidP="0009122E">
      <w:pPr>
        <w:spacing w:line="360" w:lineRule="auto"/>
        <w:rPr>
          <w:rFonts w:ascii="Arial" w:hAnsi="Arial" w:cs="Arial"/>
        </w:rPr>
      </w:pPr>
      <w:r w:rsidRPr="00DD2C1D">
        <w:rPr>
          <w:rFonts w:ascii="Arial" w:hAnsi="Arial" w:cs="Arial"/>
        </w:rPr>
        <w:t xml:space="preserve">I </w:t>
      </w:r>
      <w:r>
        <w:rPr>
          <w:rFonts w:ascii="Arial" w:hAnsi="Arial" w:cs="Arial"/>
        </w:rPr>
        <w:t xml:space="preserve">encourage those with an interest to respond to the Consultation and I </w:t>
      </w:r>
      <w:r w:rsidRPr="00DD2C1D">
        <w:rPr>
          <w:rFonts w:ascii="Arial" w:hAnsi="Arial" w:cs="Arial"/>
        </w:rPr>
        <w:t xml:space="preserve">look </w:t>
      </w:r>
      <w:r>
        <w:rPr>
          <w:rFonts w:ascii="Arial" w:hAnsi="Arial" w:cs="Arial"/>
        </w:rPr>
        <w:t>forward to considering those responses.</w:t>
      </w:r>
    </w:p>
    <w:p w:rsidR="0009122E" w:rsidRDefault="0009122E" w:rsidP="0009122E">
      <w:pPr>
        <w:spacing w:line="360" w:lineRule="auto"/>
        <w:rPr>
          <w:rFonts w:ascii="Arial" w:hAnsi="Arial" w:cs="Arial"/>
        </w:rPr>
      </w:pPr>
    </w:p>
    <w:p w:rsidR="0009122E" w:rsidRDefault="0009122E" w:rsidP="0009122E">
      <w:pPr>
        <w:spacing w:line="360" w:lineRule="auto"/>
        <w:rPr>
          <w:rFonts w:ascii="Arial" w:hAnsi="Arial" w:cs="Arial"/>
        </w:rPr>
      </w:pPr>
      <w:r>
        <w:rPr>
          <w:rFonts w:ascii="Arial" w:hAnsi="Arial" w:cs="Arial"/>
        </w:rPr>
        <w:t>Naomi Long, MLA</w:t>
      </w:r>
    </w:p>
    <w:p w:rsidR="0009122E" w:rsidRPr="00DD2C1D" w:rsidRDefault="0009122E" w:rsidP="0009122E">
      <w:pPr>
        <w:spacing w:line="360" w:lineRule="auto"/>
        <w:rPr>
          <w:rFonts w:ascii="Arial" w:hAnsi="Arial" w:cs="Arial"/>
        </w:rPr>
      </w:pPr>
      <w:r>
        <w:rPr>
          <w:rFonts w:ascii="Arial" w:hAnsi="Arial" w:cs="Arial"/>
        </w:rPr>
        <w:t>Justice Minister</w:t>
      </w:r>
    </w:p>
    <w:p w:rsidR="00C76625" w:rsidRPr="00B14F2B" w:rsidRDefault="001D3947" w:rsidP="00C76625">
      <w:pPr>
        <w:rPr>
          <w:rFonts w:ascii="Arial" w:hAnsi="Arial" w:cs="Arial"/>
          <w:b/>
          <w:sz w:val="28"/>
          <w:szCs w:val="28"/>
        </w:rPr>
      </w:pPr>
      <w:r>
        <w:rPr>
          <w:rFonts w:ascii="Arial" w:hAnsi="Arial" w:cs="Arial"/>
          <w:b/>
          <w:sz w:val="28"/>
          <w:szCs w:val="28"/>
        </w:rPr>
        <w:br w:type="page"/>
      </w:r>
      <w:r w:rsidR="00C76625" w:rsidRPr="00B14F2B">
        <w:rPr>
          <w:rFonts w:ascii="Arial" w:hAnsi="Arial" w:cs="Arial"/>
          <w:b/>
          <w:sz w:val="28"/>
          <w:szCs w:val="28"/>
        </w:rPr>
        <w:lastRenderedPageBreak/>
        <w:t>Pilot to Allow Solicitors to Instruct Experts without Prior Authority</w:t>
      </w:r>
    </w:p>
    <w:p w:rsidR="00C76625" w:rsidRDefault="00C76625" w:rsidP="00C76625">
      <w:pPr>
        <w:rPr>
          <w:rFonts w:ascii="Arial" w:hAnsi="Arial" w:cs="Arial"/>
        </w:rPr>
      </w:pPr>
    </w:p>
    <w:p w:rsidR="00C76625" w:rsidRPr="001B7FDD" w:rsidRDefault="00053C20" w:rsidP="00125B54">
      <w:pPr>
        <w:pStyle w:val="Heading1"/>
        <w:numPr>
          <w:ilvl w:val="0"/>
          <w:numId w:val="2"/>
        </w:numPr>
        <w:rPr>
          <w:rFonts w:ascii="Arial" w:hAnsi="Arial" w:cs="Arial"/>
          <w:sz w:val="28"/>
          <w:szCs w:val="28"/>
        </w:rPr>
      </w:pPr>
      <w:bookmarkStart w:id="1" w:name="_Toc34831773"/>
      <w:r w:rsidRPr="001B7FDD">
        <w:rPr>
          <w:rFonts w:ascii="Arial" w:hAnsi="Arial" w:cs="Arial"/>
          <w:sz w:val="28"/>
          <w:szCs w:val="28"/>
        </w:rPr>
        <w:t>Speeding up Access to Justice</w:t>
      </w:r>
      <w:bookmarkEnd w:id="1"/>
      <w:r w:rsidR="00AE47EB" w:rsidRPr="001B7FDD">
        <w:rPr>
          <w:rFonts w:ascii="Arial" w:hAnsi="Arial" w:cs="Arial"/>
          <w:sz w:val="28"/>
          <w:szCs w:val="28"/>
        </w:rPr>
        <w:br/>
      </w:r>
    </w:p>
    <w:p w:rsidR="00C76625" w:rsidRDefault="00C76625" w:rsidP="00125B54">
      <w:pPr>
        <w:pStyle w:val="ListParagraph"/>
        <w:numPr>
          <w:ilvl w:val="1"/>
          <w:numId w:val="2"/>
        </w:numPr>
        <w:ind w:hanging="578"/>
        <w:rPr>
          <w:rFonts w:ascii="Arial" w:hAnsi="Arial" w:cs="Arial"/>
          <w:sz w:val="24"/>
          <w:szCs w:val="24"/>
        </w:rPr>
      </w:pPr>
      <w:r>
        <w:rPr>
          <w:rFonts w:ascii="Arial" w:hAnsi="Arial" w:cs="Arial"/>
          <w:sz w:val="24"/>
          <w:szCs w:val="24"/>
        </w:rPr>
        <w:t>The Department of Justice (DOJ) is considering introducing enhanced General Authorities which would allow solicitors to instruct experts without the prior authority of the Legal Services Agency (LSANI) providing the experts work for a s</w:t>
      </w:r>
      <w:r w:rsidR="000025B1">
        <w:rPr>
          <w:rFonts w:ascii="Arial" w:hAnsi="Arial" w:cs="Arial"/>
          <w:sz w:val="24"/>
          <w:szCs w:val="24"/>
        </w:rPr>
        <w:t>tandard</w:t>
      </w:r>
      <w:r>
        <w:rPr>
          <w:rFonts w:ascii="Arial" w:hAnsi="Arial" w:cs="Arial"/>
          <w:sz w:val="24"/>
          <w:szCs w:val="24"/>
        </w:rPr>
        <w:t xml:space="preserve"> hourly rate, within a cap on hours and within other controls relating to </w:t>
      </w:r>
      <w:r w:rsidR="00F44843">
        <w:rPr>
          <w:rFonts w:ascii="Arial" w:hAnsi="Arial" w:cs="Arial"/>
          <w:sz w:val="24"/>
          <w:szCs w:val="24"/>
        </w:rPr>
        <w:t>incidental</w:t>
      </w:r>
      <w:r>
        <w:rPr>
          <w:rFonts w:ascii="Arial" w:hAnsi="Arial" w:cs="Arial"/>
          <w:sz w:val="24"/>
          <w:szCs w:val="24"/>
        </w:rPr>
        <w:t xml:space="preserve"> costs.</w:t>
      </w:r>
      <w:r w:rsidR="00053C20">
        <w:rPr>
          <w:rFonts w:ascii="Arial" w:hAnsi="Arial" w:cs="Arial"/>
          <w:sz w:val="24"/>
          <w:szCs w:val="24"/>
        </w:rPr>
        <w:t xml:space="preserve">  </w:t>
      </w:r>
      <w:r>
        <w:rPr>
          <w:rFonts w:ascii="Arial" w:hAnsi="Arial" w:cs="Arial"/>
          <w:sz w:val="24"/>
          <w:szCs w:val="24"/>
        </w:rPr>
        <w:br/>
      </w:r>
    </w:p>
    <w:p w:rsidR="00C76625" w:rsidRDefault="00C76625" w:rsidP="00125B54">
      <w:pPr>
        <w:pStyle w:val="ListParagraph"/>
        <w:numPr>
          <w:ilvl w:val="1"/>
          <w:numId w:val="2"/>
        </w:numPr>
        <w:ind w:hanging="578"/>
        <w:rPr>
          <w:rFonts w:ascii="Arial" w:hAnsi="Arial" w:cs="Arial"/>
          <w:sz w:val="24"/>
          <w:szCs w:val="24"/>
        </w:rPr>
      </w:pPr>
      <w:r w:rsidRPr="00C76625">
        <w:rPr>
          <w:rFonts w:ascii="Arial" w:hAnsi="Arial" w:cs="Arial"/>
          <w:sz w:val="24"/>
          <w:szCs w:val="24"/>
        </w:rPr>
        <w:t xml:space="preserve"> The process for instructing experts currently requires prior authority, whereby a solicitor </w:t>
      </w:r>
      <w:r w:rsidR="007E6D2A">
        <w:rPr>
          <w:rFonts w:ascii="Arial" w:hAnsi="Arial" w:cs="Arial"/>
          <w:sz w:val="24"/>
          <w:szCs w:val="24"/>
        </w:rPr>
        <w:t xml:space="preserve">applies for </w:t>
      </w:r>
      <w:r w:rsidRPr="00C76625">
        <w:rPr>
          <w:rFonts w:ascii="Arial" w:hAnsi="Arial" w:cs="Arial"/>
          <w:sz w:val="24"/>
          <w:szCs w:val="24"/>
        </w:rPr>
        <w:t xml:space="preserve">approval </w:t>
      </w:r>
      <w:r w:rsidR="007E6D2A">
        <w:rPr>
          <w:rFonts w:ascii="Arial" w:hAnsi="Arial" w:cs="Arial"/>
          <w:sz w:val="24"/>
          <w:szCs w:val="24"/>
        </w:rPr>
        <w:t xml:space="preserve">from LSANI </w:t>
      </w:r>
      <w:r w:rsidRPr="00C76625">
        <w:rPr>
          <w:rFonts w:ascii="Arial" w:hAnsi="Arial" w:cs="Arial"/>
          <w:sz w:val="24"/>
          <w:szCs w:val="24"/>
        </w:rPr>
        <w:t xml:space="preserve">to instruct an expert citing the number of hours required and the hourly rate which the expert is charging.  This has led to a divergence in the hourly rates allowed for experts in civil cases and a divergence between the rates charged between civil and criminal cases.  </w:t>
      </w:r>
    </w:p>
    <w:p w:rsidR="00C76625" w:rsidRDefault="00C76625" w:rsidP="00C76625">
      <w:pPr>
        <w:pStyle w:val="ListParagraph"/>
        <w:ind w:left="0"/>
        <w:rPr>
          <w:rFonts w:ascii="Arial" w:hAnsi="Arial" w:cs="Arial"/>
          <w:sz w:val="24"/>
          <w:szCs w:val="24"/>
        </w:rPr>
      </w:pPr>
    </w:p>
    <w:p w:rsidR="00C76625" w:rsidRDefault="00C76625" w:rsidP="00125B54">
      <w:pPr>
        <w:pStyle w:val="ListParagraph"/>
        <w:numPr>
          <w:ilvl w:val="1"/>
          <w:numId w:val="2"/>
        </w:numPr>
        <w:ind w:hanging="578"/>
        <w:rPr>
          <w:rFonts w:ascii="Arial" w:hAnsi="Arial" w:cs="Arial"/>
          <w:sz w:val="24"/>
          <w:szCs w:val="24"/>
        </w:rPr>
      </w:pPr>
      <w:r w:rsidRPr="00C76625">
        <w:rPr>
          <w:rFonts w:ascii="Arial" w:hAnsi="Arial" w:cs="Arial"/>
          <w:sz w:val="24"/>
          <w:szCs w:val="24"/>
        </w:rPr>
        <w:t xml:space="preserve">The proposals for reform would introduce standard hourly rates for different expert types, however, within a cap on hours designed to </w:t>
      </w:r>
      <w:r w:rsidR="00AE47EB">
        <w:rPr>
          <w:rFonts w:ascii="Arial" w:hAnsi="Arial" w:cs="Arial"/>
          <w:sz w:val="24"/>
          <w:szCs w:val="24"/>
        </w:rPr>
        <w:t>allow LSANI to retain control over costs and assist with forecasting</w:t>
      </w:r>
      <w:r w:rsidRPr="00C76625">
        <w:rPr>
          <w:rFonts w:ascii="Arial" w:hAnsi="Arial" w:cs="Arial"/>
          <w:sz w:val="24"/>
          <w:szCs w:val="24"/>
        </w:rPr>
        <w:t>. There would be provision for LSANI to grant experts outside of the standard hourly rates and cap on hours where this is justifiable.</w:t>
      </w:r>
    </w:p>
    <w:p w:rsidR="00053C20" w:rsidRDefault="00053C20" w:rsidP="00053C20">
      <w:pPr>
        <w:pStyle w:val="ListParagraph"/>
        <w:rPr>
          <w:rFonts w:ascii="Arial" w:hAnsi="Arial" w:cs="Arial"/>
          <w:sz w:val="24"/>
          <w:szCs w:val="24"/>
        </w:rPr>
      </w:pPr>
    </w:p>
    <w:p w:rsidR="00053C20" w:rsidRPr="00C76625" w:rsidRDefault="00053C20" w:rsidP="00125B54">
      <w:pPr>
        <w:pStyle w:val="ListParagraph"/>
        <w:numPr>
          <w:ilvl w:val="1"/>
          <w:numId w:val="2"/>
        </w:numPr>
        <w:ind w:hanging="578"/>
        <w:rPr>
          <w:rFonts w:ascii="Arial" w:hAnsi="Arial" w:cs="Arial"/>
          <w:sz w:val="24"/>
          <w:szCs w:val="24"/>
        </w:rPr>
      </w:pPr>
      <w:r>
        <w:rPr>
          <w:rFonts w:ascii="Arial" w:hAnsi="Arial" w:cs="Arial"/>
          <w:sz w:val="24"/>
          <w:szCs w:val="24"/>
        </w:rPr>
        <w:t xml:space="preserve">These provisions should allow the legal profession to instruct psychiatrists and psychologists in the majority of cases without needing prior authority from LSANI, thereby speeding up access to justice.   </w:t>
      </w:r>
    </w:p>
    <w:p w:rsidR="00C76625" w:rsidRPr="00ED5E3E" w:rsidRDefault="00C76625" w:rsidP="00125B54">
      <w:pPr>
        <w:pStyle w:val="Heading1"/>
      </w:pPr>
      <w:r>
        <w:br/>
      </w:r>
      <w:bookmarkStart w:id="2" w:name="_Toc34831774"/>
      <w:r w:rsidR="00125B54" w:rsidRPr="001B7FDD">
        <w:rPr>
          <w:rFonts w:ascii="Arial" w:hAnsi="Arial" w:cs="Arial"/>
          <w:sz w:val="28"/>
          <w:szCs w:val="28"/>
        </w:rPr>
        <w:t>2.</w:t>
      </w:r>
      <w:r w:rsidR="00125B54">
        <w:tab/>
      </w:r>
      <w:r w:rsidRPr="001B7FDD">
        <w:rPr>
          <w:rFonts w:ascii="Arial" w:hAnsi="Arial" w:cs="Arial"/>
          <w:sz w:val="28"/>
          <w:szCs w:val="28"/>
        </w:rPr>
        <w:t xml:space="preserve">Pilot to Allow Solicitors to Instruct Experts Without Prior Authority </w:t>
      </w:r>
      <w:r w:rsidR="00AE47EB" w:rsidRPr="001B7FDD">
        <w:rPr>
          <w:rFonts w:ascii="Arial" w:hAnsi="Arial" w:cs="Arial"/>
          <w:sz w:val="28"/>
          <w:szCs w:val="28"/>
        </w:rPr>
        <w:t>in Public Law Proceedings in the Family Proceedings Court</w:t>
      </w:r>
      <w:bookmarkEnd w:id="2"/>
      <w:r w:rsidRPr="00ED5E3E">
        <w:t xml:space="preserve">   </w:t>
      </w:r>
      <w:r w:rsidRPr="00ED5E3E">
        <w:br/>
      </w:r>
    </w:p>
    <w:p w:rsidR="00C76625" w:rsidRPr="00EC29E7" w:rsidRDefault="00125B54" w:rsidP="00816048">
      <w:pPr>
        <w:pStyle w:val="ListParagraph"/>
        <w:ind w:left="709" w:hanging="567"/>
        <w:rPr>
          <w:rFonts w:ascii="Arial" w:hAnsi="Arial" w:cs="Arial"/>
          <w:sz w:val="24"/>
          <w:szCs w:val="24"/>
        </w:rPr>
      </w:pPr>
      <w:r>
        <w:rPr>
          <w:rFonts w:ascii="Arial" w:hAnsi="Arial" w:cs="Arial"/>
          <w:sz w:val="24"/>
          <w:szCs w:val="24"/>
        </w:rPr>
        <w:t>2.1</w:t>
      </w:r>
      <w:r>
        <w:rPr>
          <w:rFonts w:ascii="Arial" w:hAnsi="Arial" w:cs="Arial"/>
          <w:sz w:val="24"/>
          <w:szCs w:val="24"/>
        </w:rPr>
        <w:tab/>
      </w:r>
      <w:r w:rsidR="00C76625">
        <w:rPr>
          <w:rFonts w:ascii="Arial" w:hAnsi="Arial" w:cs="Arial"/>
          <w:sz w:val="24"/>
          <w:szCs w:val="24"/>
        </w:rPr>
        <w:t>The Department of Justice proposes to run a</w:t>
      </w:r>
      <w:r w:rsidR="00C76625" w:rsidRPr="00EC29E7">
        <w:rPr>
          <w:rFonts w:ascii="Arial" w:hAnsi="Arial" w:cs="Arial"/>
          <w:sz w:val="24"/>
          <w:szCs w:val="24"/>
        </w:rPr>
        <w:t xml:space="preserve"> </w:t>
      </w:r>
      <w:r w:rsidR="00E76E46">
        <w:rPr>
          <w:rFonts w:ascii="Arial" w:hAnsi="Arial" w:cs="Arial"/>
          <w:sz w:val="24"/>
          <w:szCs w:val="24"/>
        </w:rPr>
        <w:t>p</w:t>
      </w:r>
      <w:r w:rsidR="00C76625" w:rsidRPr="00EC29E7">
        <w:rPr>
          <w:rFonts w:ascii="Arial" w:hAnsi="Arial" w:cs="Arial"/>
          <w:sz w:val="24"/>
          <w:szCs w:val="24"/>
        </w:rPr>
        <w:t xml:space="preserve">ilot </w:t>
      </w:r>
      <w:r w:rsidR="00C76625">
        <w:rPr>
          <w:rFonts w:ascii="Arial" w:hAnsi="Arial" w:cs="Arial"/>
          <w:sz w:val="24"/>
          <w:szCs w:val="24"/>
        </w:rPr>
        <w:t xml:space="preserve">which would allow solicitors to instruct psychiatrists and psychologists in Public Law Children Order cases in the Family Proceedings Court under enhanced General Authorities and without Prior Authority from the Legal Services Agency NI (LSANI).  The Pilot </w:t>
      </w:r>
      <w:r w:rsidR="00C76625" w:rsidRPr="00EC29E7">
        <w:rPr>
          <w:rFonts w:ascii="Arial" w:hAnsi="Arial" w:cs="Arial"/>
          <w:sz w:val="24"/>
          <w:szCs w:val="24"/>
        </w:rPr>
        <w:t xml:space="preserve">would allow us to test how the </w:t>
      </w:r>
      <w:r w:rsidR="00C76625">
        <w:rPr>
          <w:rFonts w:ascii="Arial" w:hAnsi="Arial" w:cs="Arial"/>
          <w:sz w:val="24"/>
          <w:szCs w:val="24"/>
        </w:rPr>
        <w:t xml:space="preserve">enhanced General Authorities </w:t>
      </w:r>
      <w:r w:rsidR="00C76625" w:rsidRPr="00EC29E7">
        <w:rPr>
          <w:rFonts w:ascii="Arial" w:hAnsi="Arial" w:cs="Arial"/>
          <w:sz w:val="24"/>
          <w:szCs w:val="24"/>
        </w:rPr>
        <w:t>would operate in practice</w:t>
      </w:r>
      <w:r w:rsidR="00C76625">
        <w:rPr>
          <w:rFonts w:ascii="Arial" w:hAnsi="Arial" w:cs="Arial"/>
          <w:sz w:val="24"/>
          <w:szCs w:val="24"/>
        </w:rPr>
        <w:t>, before rolling them out to other types of proceedings</w:t>
      </w:r>
      <w:r w:rsidR="007E6D2A">
        <w:rPr>
          <w:rFonts w:ascii="Arial" w:hAnsi="Arial" w:cs="Arial"/>
          <w:sz w:val="24"/>
          <w:szCs w:val="24"/>
        </w:rPr>
        <w:t xml:space="preserve"> </w:t>
      </w:r>
      <w:r w:rsidR="00AE47EB">
        <w:rPr>
          <w:rFonts w:ascii="Arial" w:hAnsi="Arial" w:cs="Arial"/>
          <w:sz w:val="24"/>
          <w:szCs w:val="24"/>
        </w:rPr>
        <w:t>and other expert types</w:t>
      </w:r>
      <w:r w:rsidR="00C76625">
        <w:rPr>
          <w:rFonts w:ascii="Arial" w:hAnsi="Arial" w:cs="Arial"/>
          <w:sz w:val="24"/>
          <w:szCs w:val="24"/>
        </w:rPr>
        <w:t xml:space="preserve">.  It will </w:t>
      </w:r>
      <w:r w:rsidR="00C76625" w:rsidRPr="00EC29E7">
        <w:rPr>
          <w:rFonts w:ascii="Arial" w:hAnsi="Arial" w:cs="Arial"/>
          <w:sz w:val="24"/>
          <w:szCs w:val="24"/>
        </w:rPr>
        <w:t xml:space="preserve">also </w:t>
      </w:r>
      <w:r w:rsidR="00C76625">
        <w:rPr>
          <w:rFonts w:ascii="Arial" w:hAnsi="Arial" w:cs="Arial"/>
          <w:sz w:val="24"/>
          <w:szCs w:val="24"/>
        </w:rPr>
        <w:t xml:space="preserve">allow us to </w:t>
      </w:r>
      <w:r w:rsidR="00C76625" w:rsidRPr="00EC29E7">
        <w:rPr>
          <w:rFonts w:ascii="Arial" w:hAnsi="Arial" w:cs="Arial"/>
          <w:sz w:val="24"/>
          <w:szCs w:val="24"/>
        </w:rPr>
        <w:t xml:space="preserve">assess whether </w:t>
      </w:r>
      <w:r w:rsidR="00C76625">
        <w:rPr>
          <w:rFonts w:ascii="Arial" w:hAnsi="Arial" w:cs="Arial"/>
          <w:sz w:val="24"/>
          <w:szCs w:val="24"/>
        </w:rPr>
        <w:t>the process of getting a prior authority is causing any delay in Children Order Proceedings.</w:t>
      </w:r>
      <w:r w:rsidR="00C76625">
        <w:rPr>
          <w:rFonts w:ascii="Arial" w:hAnsi="Arial" w:cs="Arial"/>
          <w:sz w:val="24"/>
          <w:szCs w:val="24"/>
        </w:rPr>
        <w:br/>
      </w:r>
    </w:p>
    <w:p w:rsidR="00C76625" w:rsidRPr="001B7FDD" w:rsidRDefault="001B7FDD" w:rsidP="00125B54">
      <w:pPr>
        <w:pStyle w:val="Heading1"/>
        <w:rPr>
          <w:rFonts w:ascii="Arial" w:hAnsi="Arial" w:cs="Arial"/>
          <w:sz w:val="28"/>
          <w:szCs w:val="28"/>
        </w:rPr>
      </w:pPr>
      <w:bookmarkStart w:id="3" w:name="_Toc34831775"/>
      <w:r>
        <w:rPr>
          <w:rFonts w:ascii="Arial" w:hAnsi="Arial" w:cs="Arial"/>
          <w:sz w:val="28"/>
          <w:szCs w:val="28"/>
        </w:rPr>
        <w:br w:type="page"/>
      </w:r>
      <w:r w:rsidR="00816048" w:rsidRPr="001B7FDD">
        <w:rPr>
          <w:rFonts w:ascii="Arial" w:hAnsi="Arial" w:cs="Arial"/>
          <w:sz w:val="28"/>
          <w:szCs w:val="28"/>
        </w:rPr>
        <w:lastRenderedPageBreak/>
        <w:t>3.</w:t>
      </w:r>
      <w:r w:rsidR="00816048" w:rsidRPr="001B7FDD">
        <w:rPr>
          <w:rFonts w:ascii="Arial" w:hAnsi="Arial" w:cs="Arial"/>
          <w:sz w:val="28"/>
          <w:szCs w:val="28"/>
        </w:rPr>
        <w:tab/>
      </w:r>
      <w:r w:rsidR="00C76625" w:rsidRPr="001B7FDD">
        <w:rPr>
          <w:rFonts w:ascii="Arial" w:hAnsi="Arial" w:cs="Arial"/>
          <w:sz w:val="28"/>
          <w:szCs w:val="28"/>
        </w:rPr>
        <w:t xml:space="preserve">The Court Tier and </w:t>
      </w:r>
      <w:r w:rsidR="009D67A7">
        <w:rPr>
          <w:rFonts w:ascii="Arial" w:hAnsi="Arial" w:cs="Arial"/>
          <w:sz w:val="28"/>
          <w:szCs w:val="28"/>
        </w:rPr>
        <w:t>C</w:t>
      </w:r>
      <w:r w:rsidR="00C76625" w:rsidRPr="001B7FDD">
        <w:rPr>
          <w:rFonts w:ascii="Arial" w:hAnsi="Arial" w:cs="Arial"/>
          <w:sz w:val="28"/>
          <w:szCs w:val="28"/>
        </w:rPr>
        <w:t xml:space="preserve">ase </w:t>
      </w:r>
      <w:r w:rsidR="009D67A7">
        <w:rPr>
          <w:rFonts w:ascii="Arial" w:hAnsi="Arial" w:cs="Arial"/>
          <w:sz w:val="28"/>
          <w:szCs w:val="28"/>
        </w:rPr>
        <w:t>T</w:t>
      </w:r>
      <w:r w:rsidR="00C76625" w:rsidRPr="001B7FDD">
        <w:rPr>
          <w:rFonts w:ascii="Arial" w:hAnsi="Arial" w:cs="Arial"/>
          <w:sz w:val="28"/>
          <w:szCs w:val="28"/>
        </w:rPr>
        <w:t xml:space="preserve">ypes to be </w:t>
      </w:r>
      <w:r w:rsidR="009D67A7">
        <w:rPr>
          <w:rFonts w:ascii="Arial" w:hAnsi="Arial" w:cs="Arial"/>
          <w:sz w:val="28"/>
          <w:szCs w:val="28"/>
        </w:rPr>
        <w:t>I</w:t>
      </w:r>
      <w:r w:rsidR="00C76625" w:rsidRPr="001B7FDD">
        <w:rPr>
          <w:rFonts w:ascii="Arial" w:hAnsi="Arial" w:cs="Arial"/>
          <w:sz w:val="28"/>
          <w:szCs w:val="28"/>
        </w:rPr>
        <w:t>ncluded in the Pilot</w:t>
      </w:r>
      <w:bookmarkEnd w:id="3"/>
    </w:p>
    <w:p w:rsidR="00C76625" w:rsidRPr="00EB5732" w:rsidRDefault="00C76625" w:rsidP="00C76625"/>
    <w:p w:rsidR="00C76625" w:rsidRPr="00D039F5" w:rsidRDefault="00816048" w:rsidP="00816048">
      <w:pPr>
        <w:pStyle w:val="ListParagraph"/>
        <w:ind w:left="709" w:hanging="567"/>
        <w:rPr>
          <w:rFonts w:ascii="Arial" w:hAnsi="Arial" w:cs="Arial"/>
          <w:sz w:val="24"/>
          <w:szCs w:val="24"/>
        </w:rPr>
      </w:pPr>
      <w:r>
        <w:rPr>
          <w:rFonts w:ascii="Arial" w:hAnsi="Arial" w:cs="Arial"/>
          <w:sz w:val="24"/>
          <w:szCs w:val="24"/>
        </w:rPr>
        <w:t>3.1</w:t>
      </w:r>
      <w:r w:rsidR="00125B54">
        <w:rPr>
          <w:rFonts w:ascii="Arial" w:hAnsi="Arial" w:cs="Arial"/>
          <w:sz w:val="24"/>
          <w:szCs w:val="24"/>
        </w:rPr>
        <w:tab/>
      </w:r>
      <w:r w:rsidR="00C76625" w:rsidRPr="00D039F5">
        <w:rPr>
          <w:rFonts w:ascii="Arial" w:hAnsi="Arial" w:cs="Arial"/>
          <w:sz w:val="24"/>
          <w:szCs w:val="24"/>
        </w:rPr>
        <w:t xml:space="preserve">It is proposed that the </w:t>
      </w:r>
      <w:r w:rsidR="00E76E46">
        <w:rPr>
          <w:rFonts w:ascii="Arial" w:hAnsi="Arial" w:cs="Arial"/>
          <w:sz w:val="24"/>
          <w:szCs w:val="24"/>
        </w:rPr>
        <w:t>p</w:t>
      </w:r>
      <w:r w:rsidR="00C76625" w:rsidRPr="00D039F5">
        <w:rPr>
          <w:rFonts w:ascii="Arial" w:hAnsi="Arial" w:cs="Arial"/>
          <w:sz w:val="24"/>
          <w:szCs w:val="24"/>
        </w:rPr>
        <w:t>ilot be confined to Public Law Children Order cases in the Family Proceedings Court.  Public law cases are those concerning care, supervision, child assessment, education supervision, emergency protection orders, extensions, contact with children in care and secure accommodation</w:t>
      </w:r>
      <w:r w:rsidR="005C6180">
        <w:rPr>
          <w:rFonts w:ascii="Arial" w:hAnsi="Arial" w:cs="Arial"/>
          <w:sz w:val="24"/>
          <w:szCs w:val="24"/>
        </w:rPr>
        <w:t xml:space="preserve"> and investigation into a Child’s circumstances</w:t>
      </w:r>
      <w:r w:rsidR="00C76625" w:rsidRPr="00D039F5">
        <w:rPr>
          <w:rFonts w:ascii="Arial" w:hAnsi="Arial" w:cs="Arial"/>
          <w:sz w:val="24"/>
          <w:szCs w:val="24"/>
        </w:rPr>
        <w:t xml:space="preserve">. </w:t>
      </w:r>
      <w:r w:rsidR="00C76625">
        <w:rPr>
          <w:rFonts w:ascii="Arial" w:hAnsi="Arial" w:cs="Arial"/>
          <w:sz w:val="24"/>
          <w:szCs w:val="24"/>
        </w:rPr>
        <w:br/>
      </w:r>
    </w:p>
    <w:p w:rsidR="00C76625" w:rsidRPr="00D039F5" w:rsidRDefault="00816048" w:rsidP="00816048">
      <w:pPr>
        <w:pStyle w:val="ListParagraph"/>
        <w:ind w:left="709" w:hanging="567"/>
        <w:rPr>
          <w:rFonts w:ascii="Arial" w:hAnsi="Arial" w:cs="Arial"/>
          <w:sz w:val="24"/>
          <w:szCs w:val="24"/>
        </w:rPr>
      </w:pPr>
      <w:r>
        <w:rPr>
          <w:rFonts w:ascii="Arial" w:hAnsi="Arial" w:cs="Arial"/>
          <w:sz w:val="24"/>
          <w:szCs w:val="24"/>
        </w:rPr>
        <w:t>3.2</w:t>
      </w:r>
      <w:r>
        <w:rPr>
          <w:rFonts w:ascii="Arial" w:hAnsi="Arial" w:cs="Arial"/>
          <w:sz w:val="24"/>
          <w:szCs w:val="24"/>
        </w:rPr>
        <w:tab/>
      </w:r>
      <w:r w:rsidR="00C76625" w:rsidRPr="00D039F5">
        <w:rPr>
          <w:rFonts w:ascii="Arial" w:hAnsi="Arial" w:cs="Arial"/>
          <w:sz w:val="24"/>
          <w:szCs w:val="24"/>
        </w:rPr>
        <w:t xml:space="preserve">It is proposed that the </w:t>
      </w:r>
      <w:r w:rsidR="00E76E46">
        <w:rPr>
          <w:rFonts w:ascii="Arial" w:hAnsi="Arial" w:cs="Arial"/>
          <w:sz w:val="24"/>
          <w:szCs w:val="24"/>
        </w:rPr>
        <w:t>p</w:t>
      </w:r>
      <w:r w:rsidR="00C76625" w:rsidRPr="00D039F5">
        <w:rPr>
          <w:rFonts w:ascii="Arial" w:hAnsi="Arial" w:cs="Arial"/>
          <w:sz w:val="24"/>
          <w:szCs w:val="24"/>
        </w:rPr>
        <w:t xml:space="preserve">ilot be confined to Public Law Children Order cases </w:t>
      </w:r>
      <w:r w:rsidR="00C76625">
        <w:rPr>
          <w:rFonts w:ascii="Arial" w:hAnsi="Arial" w:cs="Arial"/>
          <w:sz w:val="24"/>
          <w:szCs w:val="24"/>
        </w:rPr>
        <w:t>where the applicants and respondents are exempt from the financial eligibility test.</w:t>
      </w:r>
      <w:r w:rsidR="00C76625" w:rsidRPr="00B67BB4">
        <w:rPr>
          <w:rFonts w:ascii="Arial" w:hAnsi="Arial" w:cs="Arial"/>
          <w:color w:val="FF0000"/>
          <w:sz w:val="24"/>
          <w:szCs w:val="24"/>
        </w:rPr>
        <w:t xml:space="preserve"> </w:t>
      </w:r>
      <w:r w:rsidR="00C76625" w:rsidRPr="00D039F5">
        <w:rPr>
          <w:rFonts w:ascii="Arial" w:hAnsi="Arial" w:cs="Arial"/>
          <w:sz w:val="24"/>
          <w:szCs w:val="24"/>
        </w:rPr>
        <w:t>The position can be more complex in Private Children Law Proceedings when the financial eligibility test may mean that not all parties are legally aided which adds complexities to apportioning the cost of expert reports.</w:t>
      </w:r>
      <w:r w:rsidR="00C76625">
        <w:rPr>
          <w:rFonts w:ascii="Arial" w:hAnsi="Arial" w:cs="Arial"/>
          <w:sz w:val="24"/>
          <w:szCs w:val="24"/>
        </w:rPr>
        <w:br/>
      </w:r>
    </w:p>
    <w:p w:rsidR="00AE47EB" w:rsidRPr="00AE47EB" w:rsidRDefault="00816048" w:rsidP="00816048">
      <w:pPr>
        <w:pStyle w:val="ListParagraph"/>
        <w:ind w:left="709" w:hanging="567"/>
        <w:rPr>
          <w:rFonts w:ascii="Arial" w:hAnsi="Arial" w:cs="Arial"/>
          <w:b/>
        </w:rPr>
      </w:pPr>
      <w:r>
        <w:rPr>
          <w:rFonts w:ascii="Arial" w:hAnsi="Arial" w:cs="Arial"/>
          <w:sz w:val="24"/>
          <w:szCs w:val="24"/>
        </w:rPr>
        <w:t>3.3</w:t>
      </w:r>
      <w:r>
        <w:rPr>
          <w:rFonts w:ascii="Arial" w:hAnsi="Arial" w:cs="Arial"/>
          <w:sz w:val="24"/>
          <w:szCs w:val="24"/>
        </w:rPr>
        <w:tab/>
      </w:r>
      <w:r w:rsidR="00E76E46">
        <w:rPr>
          <w:rFonts w:ascii="Arial" w:hAnsi="Arial" w:cs="Arial"/>
          <w:sz w:val="24"/>
          <w:szCs w:val="24"/>
        </w:rPr>
        <w:t xml:space="preserve">It is proposed that </w:t>
      </w:r>
      <w:r w:rsidR="00F07BD1">
        <w:rPr>
          <w:rFonts w:ascii="Arial" w:hAnsi="Arial" w:cs="Arial"/>
          <w:sz w:val="24"/>
          <w:szCs w:val="24"/>
        </w:rPr>
        <w:t xml:space="preserve">the </w:t>
      </w:r>
      <w:r w:rsidR="00F07BD1" w:rsidRPr="00AE47EB">
        <w:rPr>
          <w:rFonts w:ascii="Arial" w:hAnsi="Arial" w:cs="Arial"/>
          <w:sz w:val="24"/>
          <w:szCs w:val="24"/>
        </w:rPr>
        <w:t>Pilot</w:t>
      </w:r>
      <w:r w:rsidR="00C76625" w:rsidRPr="00AE47EB">
        <w:rPr>
          <w:rFonts w:ascii="Arial" w:hAnsi="Arial" w:cs="Arial"/>
          <w:sz w:val="24"/>
          <w:szCs w:val="24"/>
        </w:rPr>
        <w:t xml:space="preserve"> be confined to the Family Proceedings Court (FPC) where the majority of Public Children Order applications are received and cases disposed of</w:t>
      </w:r>
      <w:r w:rsidR="00125B54">
        <w:rPr>
          <w:rFonts w:ascii="Arial" w:hAnsi="Arial" w:cs="Arial"/>
          <w:sz w:val="24"/>
          <w:szCs w:val="24"/>
        </w:rPr>
        <w:t xml:space="preserve"> (see Annex A for Judicial Statistics)</w:t>
      </w:r>
      <w:r w:rsidR="00C76625" w:rsidRPr="00AE47EB">
        <w:rPr>
          <w:rFonts w:ascii="Arial" w:hAnsi="Arial" w:cs="Arial"/>
          <w:sz w:val="24"/>
          <w:szCs w:val="24"/>
        </w:rPr>
        <w:t xml:space="preserve">.  </w:t>
      </w:r>
      <w:r w:rsidR="00AE47EB" w:rsidRPr="00AE47EB">
        <w:rPr>
          <w:rFonts w:ascii="Arial" w:hAnsi="Arial" w:cs="Arial"/>
          <w:sz w:val="24"/>
          <w:szCs w:val="24"/>
        </w:rPr>
        <w:t>I</w:t>
      </w:r>
      <w:r w:rsidR="00C76625" w:rsidRPr="00AE47EB">
        <w:rPr>
          <w:rFonts w:ascii="Arial" w:hAnsi="Arial" w:cs="Arial"/>
          <w:sz w:val="24"/>
          <w:szCs w:val="24"/>
        </w:rPr>
        <w:t xml:space="preserve">f the case is transferred from the FPC to a higher court tier prior authority will be required from that point on for instructing further experts.  </w:t>
      </w:r>
    </w:p>
    <w:p w:rsidR="00AE47EB" w:rsidRPr="00AE47EB" w:rsidRDefault="0025212C" w:rsidP="00AE47EB">
      <w:pPr>
        <w:pStyle w:val="ListParagraph"/>
        <w:ind w:left="0"/>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26" type="#_x0000_t202" style="position:absolute;margin-left:20.6pt;margin-top:10.1pt;width:436.5pt;height:69pt;z-index:251658240" strokecolor="#b2a1c7" strokeweight="1pt">
            <v:fill color2="#ccc0d9" focusposition="1" focussize="" focus="100%" type="gradient"/>
            <v:shadow on="t" type="perspective" color="#3f3151" opacity=".5" offset="1pt" offset2="-3pt"/>
            <v:textbox>
              <w:txbxContent>
                <w:p w:rsidR="001B7FDD" w:rsidRDefault="001B7FDD">
                  <w:r>
                    <w:t xml:space="preserve">Q.1 Do you agree that public law proceedings in the Family Proceedings Court are the best proceedings for piloting the General Authority? </w:t>
                  </w:r>
                </w:p>
              </w:txbxContent>
            </v:textbox>
          </v:shape>
        </w:pict>
      </w:r>
    </w:p>
    <w:p w:rsidR="00AE47EB" w:rsidRDefault="00C76625" w:rsidP="00AE47EB">
      <w:pPr>
        <w:pStyle w:val="ListParagraph"/>
        <w:ind w:left="0"/>
        <w:rPr>
          <w:rFonts w:ascii="Arial" w:hAnsi="Arial" w:cs="Arial"/>
          <w:b/>
        </w:rPr>
      </w:pPr>
      <w:r w:rsidRPr="00AE47EB">
        <w:rPr>
          <w:rFonts w:ascii="Arial" w:hAnsi="Arial" w:cs="Arial"/>
          <w:b/>
        </w:rPr>
        <w:br/>
      </w:r>
    </w:p>
    <w:p w:rsidR="00AE47EB" w:rsidRDefault="00AE47EB" w:rsidP="00AE47EB">
      <w:pPr>
        <w:pStyle w:val="ListParagraph"/>
        <w:ind w:left="0"/>
        <w:rPr>
          <w:rFonts w:ascii="Arial" w:hAnsi="Arial" w:cs="Arial"/>
          <w:b/>
        </w:rPr>
      </w:pPr>
    </w:p>
    <w:p w:rsidR="00AE47EB" w:rsidRDefault="00AE47EB" w:rsidP="00AE47EB">
      <w:pPr>
        <w:pStyle w:val="ListParagraph"/>
        <w:ind w:left="0"/>
        <w:rPr>
          <w:rFonts w:ascii="Arial" w:hAnsi="Arial" w:cs="Arial"/>
          <w:b/>
        </w:rPr>
      </w:pPr>
    </w:p>
    <w:p w:rsidR="00AE47EB" w:rsidRDefault="00AE47EB" w:rsidP="00AE47EB">
      <w:pPr>
        <w:pStyle w:val="ListParagraph"/>
        <w:ind w:left="0"/>
        <w:rPr>
          <w:rFonts w:ascii="Arial" w:hAnsi="Arial" w:cs="Arial"/>
          <w:b/>
        </w:rPr>
      </w:pPr>
    </w:p>
    <w:p w:rsidR="00AE47EB" w:rsidRDefault="00AE47EB" w:rsidP="00AE47EB">
      <w:pPr>
        <w:pStyle w:val="ListParagraph"/>
        <w:ind w:left="0"/>
        <w:rPr>
          <w:rFonts w:ascii="Arial" w:hAnsi="Arial" w:cs="Arial"/>
          <w:b/>
        </w:rPr>
      </w:pPr>
    </w:p>
    <w:p w:rsidR="00C76625" w:rsidRPr="001B7FDD" w:rsidRDefault="00816048" w:rsidP="00816048">
      <w:pPr>
        <w:pStyle w:val="Heading1"/>
        <w:rPr>
          <w:rFonts w:ascii="Arial" w:hAnsi="Arial" w:cs="Arial"/>
          <w:sz w:val="28"/>
          <w:szCs w:val="28"/>
        </w:rPr>
      </w:pPr>
      <w:bookmarkStart w:id="4" w:name="_Toc34831776"/>
      <w:r w:rsidRPr="001B7FDD">
        <w:rPr>
          <w:rFonts w:ascii="Arial" w:hAnsi="Arial" w:cs="Arial"/>
          <w:sz w:val="28"/>
          <w:szCs w:val="28"/>
        </w:rPr>
        <w:t>4.</w:t>
      </w:r>
      <w:r w:rsidRPr="001B7FDD">
        <w:rPr>
          <w:rFonts w:ascii="Arial" w:hAnsi="Arial" w:cs="Arial"/>
          <w:sz w:val="28"/>
          <w:szCs w:val="28"/>
        </w:rPr>
        <w:tab/>
      </w:r>
      <w:r w:rsidR="00C76625" w:rsidRPr="001B7FDD">
        <w:rPr>
          <w:rFonts w:ascii="Arial" w:hAnsi="Arial" w:cs="Arial"/>
          <w:sz w:val="28"/>
          <w:szCs w:val="28"/>
        </w:rPr>
        <w:t xml:space="preserve">The Expert Types to be </w:t>
      </w:r>
      <w:r w:rsidR="009D67A7">
        <w:rPr>
          <w:rFonts w:ascii="Arial" w:hAnsi="Arial" w:cs="Arial"/>
          <w:sz w:val="28"/>
          <w:szCs w:val="28"/>
        </w:rPr>
        <w:t>I</w:t>
      </w:r>
      <w:r w:rsidR="00C76625" w:rsidRPr="001B7FDD">
        <w:rPr>
          <w:rFonts w:ascii="Arial" w:hAnsi="Arial" w:cs="Arial"/>
          <w:sz w:val="28"/>
          <w:szCs w:val="28"/>
        </w:rPr>
        <w:t>ncluded in the Pilot</w:t>
      </w:r>
      <w:bookmarkEnd w:id="4"/>
    </w:p>
    <w:p w:rsidR="00C76625" w:rsidRPr="00EB5732" w:rsidRDefault="00C76625" w:rsidP="00C76625"/>
    <w:p w:rsidR="00C76625" w:rsidRPr="00D039F5" w:rsidRDefault="00816048" w:rsidP="00816048">
      <w:pPr>
        <w:pStyle w:val="ListParagraph"/>
        <w:ind w:left="709" w:hanging="567"/>
        <w:rPr>
          <w:rFonts w:ascii="Arial" w:hAnsi="Arial" w:cs="Arial"/>
          <w:sz w:val="24"/>
          <w:szCs w:val="24"/>
        </w:rPr>
      </w:pPr>
      <w:r>
        <w:rPr>
          <w:rFonts w:ascii="Arial" w:hAnsi="Arial" w:cs="Arial"/>
          <w:sz w:val="24"/>
          <w:szCs w:val="24"/>
        </w:rPr>
        <w:t>4.1</w:t>
      </w:r>
      <w:r>
        <w:rPr>
          <w:rFonts w:ascii="Arial" w:hAnsi="Arial" w:cs="Arial"/>
          <w:sz w:val="24"/>
          <w:szCs w:val="24"/>
        </w:rPr>
        <w:tab/>
      </w:r>
      <w:r w:rsidR="00C76625" w:rsidRPr="00D039F5">
        <w:rPr>
          <w:rFonts w:ascii="Arial" w:hAnsi="Arial" w:cs="Arial"/>
          <w:sz w:val="24"/>
          <w:szCs w:val="24"/>
        </w:rPr>
        <w:t>It is proposed that the expert types to be included in the Pilot are psychiatrists</w:t>
      </w:r>
      <w:r w:rsidR="00C76625">
        <w:rPr>
          <w:rFonts w:ascii="Arial" w:hAnsi="Arial" w:cs="Arial"/>
          <w:sz w:val="24"/>
          <w:szCs w:val="24"/>
        </w:rPr>
        <w:t xml:space="preserve"> and</w:t>
      </w:r>
      <w:r w:rsidR="00C76625" w:rsidRPr="00D039F5">
        <w:rPr>
          <w:rFonts w:ascii="Arial" w:hAnsi="Arial" w:cs="Arial"/>
          <w:sz w:val="24"/>
          <w:szCs w:val="24"/>
        </w:rPr>
        <w:t xml:space="preserve"> psychologists.</w:t>
      </w:r>
      <w:r w:rsidR="00C76625">
        <w:rPr>
          <w:rFonts w:ascii="Arial" w:hAnsi="Arial" w:cs="Arial"/>
          <w:sz w:val="24"/>
          <w:szCs w:val="24"/>
        </w:rPr>
        <w:br/>
      </w:r>
    </w:p>
    <w:p w:rsidR="00C76625" w:rsidRPr="00AE47EB" w:rsidRDefault="00816048" w:rsidP="00816048">
      <w:pPr>
        <w:pStyle w:val="ListParagraph"/>
        <w:ind w:left="709" w:hanging="567"/>
      </w:pPr>
      <w:r>
        <w:rPr>
          <w:rFonts w:ascii="Arial" w:hAnsi="Arial" w:cs="Arial"/>
          <w:sz w:val="24"/>
          <w:szCs w:val="24"/>
        </w:rPr>
        <w:t>4.2</w:t>
      </w:r>
      <w:r>
        <w:rPr>
          <w:rFonts w:ascii="Arial" w:hAnsi="Arial" w:cs="Arial"/>
          <w:sz w:val="24"/>
          <w:szCs w:val="24"/>
        </w:rPr>
        <w:tab/>
      </w:r>
      <w:r w:rsidR="00C76625" w:rsidRPr="00D039F5">
        <w:rPr>
          <w:rFonts w:ascii="Arial" w:hAnsi="Arial" w:cs="Arial"/>
          <w:sz w:val="24"/>
          <w:szCs w:val="24"/>
        </w:rPr>
        <w:t>These are the t</w:t>
      </w:r>
      <w:r w:rsidR="00C76625">
        <w:rPr>
          <w:rFonts w:ascii="Arial" w:hAnsi="Arial" w:cs="Arial"/>
          <w:sz w:val="24"/>
          <w:szCs w:val="24"/>
        </w:rPr>
        <w:t>wo</w:t>
      </w:r>
      <w:r w:rsidR="00C76625" w:rsidRPr="00D039F5">
        <w:rPr>
          <w:rFonts w:ascii="Arial" w:hAnsi="Arial" w:cs="Arial"/>
          <w:sz w:val="24"/>
          <w:szCs w:val="24"/>
        </w:rPr>
        <w:t xml:space="preserve"> most commonly used expert types which produce reports for the courts in Children Order cases, particularly in the FPC</w:t>
      </w:r>
      <w:r w:rsidR="00C76625">
        <w:rPr>
          <w:rFonts w:ascii="Arial" w:hAnsi="Arial" w:cs="Arial"/>
          <w:sz w:val="24"/>
          <w:szCs w:val="24"/>
        </w:rPr>
        <w:t>s</w:t>
      </w:r>
      <w:r w:rsidR="00C76625" w:rsidRPr="00D039F5">
        <w:rPr>
          <w:rFonts w:ascii="Arial" w:hAnsi="Arial" w:cs="Arial"/>
          <w:sz w:val="24"/>
          <w:szCs w:val="24"/>
        </w:rPr>
        <w:t xml:space="preserve">.  </w:t>
      </w:r>
    </w:p>
    <w:p w:rsidR="00AE47EB" w:rsidRDefault="00AE47EB" w:rsidP="00AE47EB">
      <w:pPr>
        <w:pStyle w:val="ListParagraph"/>
        <w:rPr>
          <w:rFonts w:ascii="Arial" w:hAnsi="Arial" w:cs="Arial"/>
          <w:sz w:val="24"/>
          <w:szCs w:val="24"/>
        </w:rPr>
      </w:pPr>
    </w:p>
    <w:p w:rsidR="00AE47EB" w:rsidRDefault="0025212C" w:rsidP="00AE47EB">
      <w:pPr>
        <w:pStyle w:val="ListParagraph"/>
        <w:rPr>
          <w:rFonts w:ascii="Arial" w:hAnsi="Arial" w:cs="Arial"/>
          <w:sz w:val="24"/>
          <w:szCs w:val="24"/>
        </w:rPr>
      </w:pPr>
      <w:r>
        <w:rPr>
          <w:rFonts w:ascii="Arial" w:hAnsi="Arial" w:cs="Arial"/>
          <w:noProof/>
          <w:sz w:val="24"/>
          <w:szCs w:val="24"/>
          <w:lang w:eastAsia="en-GB"/>
        </w:rPr>
        <w:pict>
          <v:shape id="_x0000_s1027" type="#_x0000_t202" style="position:absolute;left:0;text-align:left;margin-left:12.35pt;margin-top:10.7pt;width:444.75pt;height:62.25pt;z-index:251659264" strokecolor="#b2a1c7" strokeweight="1pt">
            <v:fill color2="#ccc0d9" focusposition="1" focussize="" focus="100%" type="gradient"/>
            <v:shadow on="t" type="perspective" color="#3f3151" opacity=".5" offset="1pt" offset2="-3pt"/>
            <v:textbox>
              <w:txbxContent>
                <w:p w:rsidR="001B7FDD" w:rsidRDefault="001B7FDD">
                  <w:r>
                    <w:t>Q.2 Do you agree that the expert types to be included in the pilot should be psychiatrists and psychologists?</w:t>
                  </w:r>
                </w:p>
              </w:txbxContent>
            </v:textbox>
          </v:shape>
        </w:pict>
      </w:r>
    </w:p>
    <w:p w:rsidR="00AE47EB" w:rsidRDefault="00AE47EB" w:rsidP="00AE47EB">
      <w:pPr>
        <w:pStyle w:val="ListParagraph"/>
        <w:rPr>
          <w:rFonts w:ascii="Arial" w:hAnsi="Arial" w:cs="Arial"/>
          <w:sz w:val="24"/>
          <w:szCs w:val="24"/>
        </w:rPr>
      </w:pPr>
    </w:p>
    <w:p w:rsidR="00AE47EB" w:rsidRDefault="00AE47EB" w:rsidP="00AE47EB">
      <w:pPr>
        <w:pStyle w:val="ListParagraph"/>
        <w:rPr>
          <w:rFonts w:ascii="Arial" w:hAnsi="Arial" w:cs="Arial"/>
          <w:sz w:val="24"/>
          <w:szCs w:val="24"/>
        </w:rPr>
      </w:pPr>
    </w:p>
    <w:p w:rsidR="00AE47EB" w:rsidRPr="00F62977" w:rsidRDefault="00AE47EB" w:rsidP="00AE47EB">
      <w:pPr>
        <w:pStyle w:val="ListParagraph"/>
      </w:pPr>
    </w:p>
    <w:p w:rsidR="00C76625" w:rsidRDefault="00C76625" w:rsidP="00C76625">
      <w:pPr>
        <w:rPr>
          <w:rFonts w:ascii="Arial" w:hAnsi="Arial" w:cs="Arial"/>
          <w:b/>
        </w:rPr>
      </w:pPr>
    </w:p>
    <w:p w:rsidR="00AE47EB" w:rsidRDefault="00AE47EB" w:rsidP="00C76625">
      <w:pPr>
        <w:rPr>
          <w:rFonts w:ascii="Arial" w:hAnsi="Arial" w:cs="Arial"/>
          <w:b/>
        </w:rPr>
      </w:pPr>
    </w:p>
    <w:p w:rsidR="00C76625" w:rsidRPr="001B7FDD" w:rsidRDefault="00D1777F" w:rsidP="00125B54">
      <w:pPr>
        <w:pStyle w:val="Heading1"/>
        <w:rPr>
          <w:rFonts w:ascii="Arial" w:hAnsi="Arial" w:cs="Arial"/>
          <w:sz w:val="28"/>
          <w:szCs w:val="28"/>
        </w:rPr>
      </w:pPr>
      <w:r>
        <w:br w:type="page"/>
      </w:r>
      <w:bookmarkStart w:id="5" w:name="_Toc34831777"/>
      <w:r w:rsidR="00816048" w:rsidRPr="001B7FDD">
        <w:rPr>
          <w:rFonts w:ascii="Arial" w:hAnsi="Arial" w:cs="Arial"/>
          <w:sz w:val="28"/>
          <w:szCs w:val="28"/>
        </w:rPr>
        <w:lastRenderedPageBreak/>
        <w:t>5.</w:t>
      </w:r>
      <w:r w:rsidR="00816048" w:rsidRPr="001B7FDD">
        <w:rPr>
          <w:rFonts w:ascii="Arial" w:hAnsi="Arial" w:cs="Arial"/>
          <w:sz w:val="28"/>
          <w:szCs w:val="28"/>
        </w:rPr>
        <w:tab/>
      </w:r>
      <w:r w:rsidR="00C76625" w:rsidRPr="001B7FDD">
        <w:rPr>
          <w:rFonts w:ascii="Arial" w:hAnsi="Arial" w:cs="Arial"/>
          <w:sz w:val="28"/>
          <w:szCs w:val="28"/>
        </w:rPr>
        <w:t xml:space="preserve">The Hourly </w:t>
      </w:r>
      <w:r w:rsidR="009D67A7">
        <w:rPr>
          <w:rFonts w:ascii="Arial" w:hAnsi="Arial" w:cs="Arial"/>
          <w:sz w:val="28"/>
          <w:szCs w:val="28"/>
        </w:rPr>
        <w:t>R</w:t>
      </w:r>
      <w:r w:rsidR="00C76625" w:rsidRPr="001B7FDD">
        <w:rPr>
          <w:rFonts w:ascii="Arial" w:hAnsi="Arial" w:cs="Arial"/>
          <w:sz w:val="28"/>
          <w:szCs w:val="28"/>
        </w:rPr>
        <w:t xml:space="preserve">ate to be </w:t>
      </w:r>
      <w:proofErr w:type="gramStart"/>
      <w:r w:rsidR="00C76625" w:rsidRPr="001B7FDD">
        <w:rPr>
          <w:rFonts w:ascii="Arial" w:hAnsi="Arial" w:cs="Arial"/>
          <w:sz w:val="28"/>
          <w:szCs w:val="28"/>
        </w:rPr>
        <w:t>Allowed</w:t>
      </w:r>
      <w:bookmarkEnd w:id="5"/>
      <w:proofErr w:type="gramEnd"/>
    </w:p>
    <w:p w:rsidR="00C76625" w:rsidRPr="00EB5732" w:rsidRDefault="00C76625" w:rsidP="00C76625"/>
    <w:p w:rsidR="00C76625" w:rsidRDefault="00816048" w:rsidP="00816048">
      <w:pPr>
        <w:pStyle w:val="ListParagraph"/>
        <w:ind w:left="709" w:hanging="567"/>
        <w:rPr>
          <w:rFonts w:ascii="Arial" w:hAnsi="Arial" w:cs="Arial"/>
          <w:sz w:val="24"/>
          <w:szCs w:val="24"/>
        </w:rPr>
      </w:pPr>
      <w:r>
        <w:rPr>
          <w:rFonts w:ascii="Arial" w:hAnsi="Arial" w:cs="Arial"/>
          <w:sz w:val="24"/>
          <w:szCs w:val="24"/>
        </w:rPr>
        <w:t>5.1</w:t>
      </w:r>
      <w:r>
        <w:rPr>
          <w:rFonts w:ascii="Arial" w:hAnsi="Arial" w:cs="Arial"/>
          <w:sz w:val="24"/>
          <w:szCs w:val="24"/>
        </w:rPr>
        <w:tab/>
      </w:r>
      <w:r w:rsidR="00C76625">
        <w:rPr>
          <w:rFonts w:ascii="Arial" w:hAnsi="Arial" w:cs="Arial"/>
          <w:sz w:val="24"/>
          <w:szCs w:val="24"/>
        </w:rPr>
        <w:t xml:space="preserve">In considering the hourly rate to be allowed, the following </w:t>
      </w:r>
      <w:r w:rsidR="00B93137">
        <w:rPr>
          <w:rFonts w:ascii="Arial" w:hAnsi="Arial" w:cs="Arial"/>
          <w:sz w:val="24"/>
          <w:szCs w:val="24"/>
        </w:rPr>
        <w:t>criteria were</w:t>
      </w:r>
      <w:r w:rsidR="00C76625">
        <w:rPr>
          <w:rFonts w:ascii="Arial" w:hAnsi="Arial" w:cs="Arial"/>
          <w:sz w:val="24"/>
          <w:szCs w:val="24"/>
        </w:rPr>
        <w:t xml:space="preserve"> considered:</w:t>
      </w:r>
    </w:p>
    <w:p w:rsidR="00C76625" w:rsidRDefault="00C76625" w:rsidP="00C76625">
      <w:pPr>
        <w:pStyle w:val="ListParagraph"/>
        <w:numPr>
          <w:ilvl w:val="0"/>
          <w:numId w:val="1"/>
        </w:numPr>
        <w:rPr>
          <w:rFonts w:ascii="Arial" w:hAnsi="Arial" w:cs="Arial"/>
          <w:sz w:val="24"/>
          <w:szCs w:val="24"/>
        </w:rPr>
      </w:pPr>
      <w:r>
        <w:rPr>
          <w:rFonts w:ascii="Arial" w:hAnsi="Arial" w:cs="Arial"/>
          <w:sz w:val="24"/>
          <w:szCs w:val="24"/>
        </w:rPr>
        <w:t>Value for money;</w:t>
      </w:r>
    </w:p>
    <w:p w:rsidR="00C76625" w:rsidRDefault="00C76625" w:rsidP="00C76625">
      <w:pPr>
        <w:pStyle w:val="ListParagraph"/>
        <w:numPr>
          <w:ilvl w:val="0"/>
          <w:numId w:val="1"/>
        </w:numPr>
        <w:rPr>
          <w:rFonts w:ascii="Arial" w:hAnsi="Arial" w:cs="Arial"/>
          <w:sz w:val="24"/>
          <w:szCs w:val="24"/>
        </w:rPr>
      </w:pPr>
      <w:r>
        <w:rPr>
          <w:rFonts w:ascii="Arial" w:hAnsi="Arial" w:cs="Arial"/>
          <w:sz w:val="24"/>
          <w:szCs w:val="24"/>
        </w:rPr>
        <w:t>The rates currently payable in NI in public children order cases, other civil cases and criminal cases (a long term aim of the D</w:t>
      </w:r>
      <w:r w:rsidR="004C5182">
        <w:rPr>
          <w:rFonts w:ascii="Arial" w:hAnsi="Arial" w:cs="Arial"/>
          <w:sz w:val="24"/>
          <w:szCs w:val="24"/>
        </w:rPr>
        <w:t>epartment</w:t>
      </w:r>
      <w:r>
        <w:rPr>
          <w:rFonts w:ascii="Arial" w:hAnsi="Arial" w:cs="Arial"/>
          <w:sz w:val="24"/>
          <w:szCs w:val="24"/>
        </w:rPr>
        <w:t xml:space="preserve"> is to standardise experts rates between different case types); </w:t>
      </w:r>
    </w:p>
    <w:p w:rsidR="00C76625" w:rsidRDefault="00C76625" w:rsidP="00C76625">
      <w:pPr>
        <w:pStyle w:val="ListParagraph"/>
        <w:numPr>
          <w:ilvl w:val="0"/>
          <w:numId w:val="1"/>
        </w:numPr>
        <w:rPr>
          <w:rFonts w:ascii="Arial" w:hAnsi="Arial" w:cs="Arial"/>
          <w:sz w:val="24"/>
          <w:szCs w:val="24"/>
        </w:rPr>
      </w:pPr>
      <w:r>
        <w:rPr>
          <w:rFonts w:ascii="Arial" w:hAnsi="Arial" w:cs="Arial"/>
          <w:sz w:val="24"/>
          <w:szCs w:val="24"/>
        </w:rPr>
        <w:t>The rates payable in England and Wales;</w:t>
      </w:r>
    </w:p>
    <w:p w:rsidR="00C76625" w:rsidRDefault="00C76625" w:rsidP="00C76625">
      <w:pPr>
        <w:pStyle w:val="ListParagraph"/>
        <w:numPr>
          <w:ilvl w:val="0"/>
          <w:numId w:val="1"/>
        </w:numPr>
        <w:rPr>
          <w:rFonts w:ascii="Arial" w:hAnsi="Arial" w:cs="Arial"/>
          <w:sz w:val="24"/>
          <w:szCs w:val="24"/>
        </w:rPr>
      </w:pPr>
      <w:r>
        <w:rPr>
          <w:rFonts w:ascii="Arial" w:hAnsi="Arial" w:cs="Arial"/>
          <w:sz w:val="24"/>
          <w:szCs w:val="24"/>
        </w:rPr>
        <w:t xml:space="preserve">The NHS salary available for experts in NI; </w:t>
      </w:r>
    </w:p>
    <w:p w:rsidR="00C76625" w:rsidRDefault="00C76625" w:rsidP="00C76625">
      <w:pPr>
        <w:pStyle w:val="ListParagraph"/>
        <w:numPr>
          <w:ilvl w:val="0"/>
          <w:numId w:val="1"/>
        </w:numPr>
        <w:rPr>
          <w:rFonts w:ascii="Arial" w:hAnsi="Arial" w:cs="Arial"/>
          <w:sz w:val="24"/>
          <w:szCs w:val="24"/>
        </w:rPr>
      </w:pPr>
      <w:r>
        <w:rPr>
          <w:rFonts w:ascii="Arial" w:hAnsi="Arial" w:cs="Arial"/>
          <w:sz w:val="24"/>
          <w:szCs w:val="24"/>
        </w:rPr>
        <w:t>The need to retain a sufficient pool of experts; and</w:t>
      </w:r>
    </w:p>
    <w:p w:rsidR="00C76625" w:rsidRDefault="00C76625" w:rsidP="00C76625">
      <w:pPr>
        <w:pStyle w:val="ListParagraph"/>
        <w:numPr>
          <w:ilvl w:val="0"/>
          <w:numId w:val="1"/>
        </w:numPr>
        <w:rPr>
          <w:rFonts w:ascii="Arial" w:hAnsi="Arial" w:cs="Arial"/>
          <w:sz w:val="24"/>
          <w:szCs w:val="24"/>
        </w:rPr>
      </w:pPr>
      <w:r>
        <w:rPr>
          <w:rFonts w:ascii="Arial" w:hAnsi="Arial" w:cs="Arial"/>
          <w:sz w:val="24"/>
          <w:szCs w:val="24"/>
        </w:rPr>
        <w:t xml:space="preserve">The facility for solicitors to ask for higher rates </w:t>
      </w:r>
      <w:r w:rsidR="004C5182">
        <w:rPr>
          <w:rFonts w:ascii="Arial" w:hAnsi="Arial" w:cs="Arial"/>
          <w:sz w:val="24"/>
          <w:szCs w:val="24"/>
        </w:rPr>
        <w:t>in exceptional circumstances.</w:t>
      </w:r>
      <w:r w:rsidR="004C5182">
        <w:rPr>
          <w:rFonts w:ascii="Arial" w:hAnsi="Arial" w:cs="Arial"/>
          <w:sz w:val="24"/>
          <w:szCs w:val="24"/>
        </w:rPr>
        <w:br/>
      </w:r>
      <w:r>
        <w:rPr>
          <w:rFonts w:ascii="Arial" w:hAnsi="Arial" w:cs="Arial"/>
          <w:sz w:val="24"/>
          <w:szCs w:val="24"/>
        </w:rPr>
        <w:t xml:space="preserve"> </w:t>
      </w:r>
    </w:p>
    <w:p w:rsidR="00AE47EB" w:rsidRPr="00816048" w:rsidRDefault="00816048" w:rsidP="00816048">
      <w:pPr>
        <w:pStyle w:val="ListParagraph"/>
        <w:ind w:left="709" w:hanging="567"/>
        <w:rPr>
          <w:rFonts w:ascii="Arial" w:hAnsi="Arial" w:cs="Arial"/>
        </w:rPr>
      </w:pPr>
      <w:r>
        <w:rPr>
          <w:rFonts w:ascii="Arial" w:hAnsi="Arial" w:cs="Arial"/>
          <w:sz w:val="24"/>
          <w:szCs w:val="24"/>
        </w:rPr>
        <w:t>5.2</w:t>
      </w:r>
      <w:r>
        <w:rPr>
          <w:rFonts w:ascii="Arial" w:hAnsi="Arial" w:cs="Arial"/>
          <w:sz w:val="24"/>
          <w:szCs w:val="24"/>
        </w:rPr>
        <w:tab/>
      </w:r>
      <w:r w:rsidR="00C76625" w:rsidRPr="00816048">
        <w:rPr>
          <w:rFonts w:ascii="Arial" w:hAnsi="Arial" w:cs="Arial"/>
          <w:sz w:val="24"/>
          <w:szCs w:val="24"/>
        </w:rPr>
        <w:t xml:space="preserve">It is </w:t>
      </w:r>
      <w:r w:rsidR="00AE47EB" w:rsidRPr="00816048">
        <w:rPr>
          <w:rFonts w:ascii="Arial" w:hAnsi="Arial" w:cs="Arial"/>
          <w:sz w:val="24"/>
          <w:szCs w:val="24"/>
        </w:rPr>
        <w:t xml:space="preserve">proposed </w:t>
      </w:r>
      <w:r w:rsidR="00C76625" w:rsidRPr="00816048">
        <w:rPr>
          <w:rFonts w:ascii="Arial" w:hAnsi="Arial" w:cs="Arial"/>
          <w:sz w:val="24"/>
          <w:szCs w:val="24"/>
        </w:rPr>
        <w:t>that the hourly rate for Psychiatrists is set at £100 per hour</w:t>
      </w:r>
      <w:r w:rsidR="00076815">
        <w:rPr>
          <w:rFonts w:ascii="Arial" w:hAnsi="Arial" w:cs="Arial"/>
          <w:sz w:val="24"/>
          <w:szCs w:val="24"/>
        </w:rPr>
        <w:t xml:space="preserve">, child psychiatrists at £108 per hour, </w:t>
      </w:r>
      <w:r w:rsidR="00AE47EB" w:rsidRPr="00816048">
        <w:rPr>
          <w:rFonts w:ascii="Arial" w:hAnsi="Arial" w:cs="Arial"/>
          <w:sz w:val="24"/>
          <w:szCs w:val="24"/>
        </w:rPr>
        <w:t>Psychologists at £90 per hour</w:t>
      </w:r>
      <w:r w:rsidR="00076815">
        <w:rPr>
          <w:rFonts w:ascii="Arial" w:hAnsi="Arial" w:cs="Arial"/>
          <w:sz w:val="24"/>
          <w:szCs w:val="24"/>
        </w:rPr>
        <w:t xml:space="preserve"> and child psychologists at £100 per hour</w:t>
      </w:r>
      <w:r w:rsidR="00C76625" w:rsidRPr="00816048">
        <w:rPr>
          <w:rFonts w:ascii="Arial" w:hAnsi="Arial" w:cs="Arial"/>
          <w:sz w:val="24"/>
          <w:szCs w:val="24"/>
        </w:rPr>
        <w:t xml:space="preserve">.  </w:t>
      </w:r>
    </w:p>
    <w:p w:rsidR="00AE47EB" w:rsidRDefault="00AE47EB" w:rsidP="00AE47EB">
      <w:pPr>
        <w:pStyle w:val="ListParagraph"/>
        <w:rPr>
          <w:rFonts w:ascii="Arial" w:hAnsi="Arial" w:cs="Arial"/>
          <w:sz w:val="24"/>
          <w:szCs w:val="24"/>
        </w:rPr>
      </w:pPr>
    </w:p>
    <w:p w:rsidR="00AE47EB" w:rsidRDefault="0025212C" w:rsidP="00AE47EB">
      <w:pPr>
        <w:pStyle w:val="ListParagraph"/>
        <w:rPr>
          <w:rFonts w:ascii="Arial" w:hAnsi="Arial" w:cs="Arial"/>
          <w:sz w:val="24"/>
          <w:szCs w:val="24"/>
        </w:rPr>
      </w:pPr>
      <w:r>
        <w:rPr>
          <w:rFonts w:ascii="Arial" w:hAnsi="Arial" w:cs="Arial"/>
          <w:noProof/>
          <w:sz w:val="24"/>
          <w:szCs w:val="24"/>
          <w:lang w:eastAsia="en-GB"/>
        </w:rPr>
        <w:pict>
          <v:shape id="_x0000_s1028" type="#_x0000_t202" style="position:absolute;left:0;text-align:left;margin-left:28.85pt;margin-top:8.45pt;width:427.5pt;height:70.5pt;z-index:251660288" strokecolor="#b2a1c7" strokeweight="1pt">
            <v:fill color2="#ccc0d9" focusposition="1" focussize="" focus="100%" type="gradient"/>
            <v:shadow on="t" type="perspective" color="#3f3151" opacity=".5" offset="1pt" offset2="-3pt"/>
            <v:textbox>
              <w:txbxContent>
                <w:p w:rsidR="001B7FDD" w:rsidRDefault="001B7FDD">
                  <w:r>
                    <w:t>Q.3 Do you agree that the hourly rate of £100 per hour should be payable to Psychiatrists and £90 per hour should be paid to Psychologists?</w:t>
                  </w:r>
                </w:p>
              </w:txbxContent>
            </v:textbox>
          </v:shape>
        </w:pict>
      </w:r>
    </w:p>
    <w:p w:rsidR="00AE47EB" w:rsidRDefault="00AE47EB" w:rsidP="00AE47EB">
      <w:pPr>
        <w:pStyle w:val="ListParagraph"/>
        <w:rPr>
          <w:rFonts w:ascii="Arial" w:hAnsi="Arial" w:cs="Arial"/>
          <w:sz w:val="24"/>
          <w:szCs w:val="24"/>
        </w:rPr>
      </w:pPr>
    </w:p>
    <w:p w:rsidR="00AE47EB" w:rsidRDefault="00AE47EB" w:rsidP="00AE47EB">
      <w:pPr>
        <w:pStyle w:val="ListParagraph"/>
        <w:rPr>
          <w:rFonts w:ascii="Arial" w:hAnsi="Arial" w:cs="Arial"/>
          <w:sz w:val="24"/>
          <w:szCs w:val="24"/>
        </w:rPr>
      </w:pPr>
    </w:p>
    <w:p w:rsidR="00AE47EB" w:rsidRDefault="00AE47EB" w:rsidP="00AE47EB">
      <w:pPr>
        <w:pStyle w:val="ListParagraph"/>
        <w:rPr>
          <w:rFonts w:ascii="Arial" w:hAnsi="Arial" w:cs="Arial"/>
          <w:sz w:val="24"/>
          <w:szCs w:val="24"/>
        </w:rPr>
      </w:pPr>
    </w:p>
    <w:p w:rsidR="00AE47EB" w:rsidRDefault="00AE47EB" w:rsidP="00AE47EB">
      <w:pPr>
        <w:pStyle w:val="ListParagraph"/>
        <w:rPr>
          <w:rFonts w:ascii="Arial" w:hAnsi="Arial" w:cs="Arial"/>
          <w:sz w:val="24"/>
          <w:szCs w:val="24"/>
        </w:rPr>
      </w:pPr>
    </w:p>
    <w:p w:rsidR="00AE47EB" w:rsidRDefault="00AE47EB" w:rsidP="00AE47EB">
      <w:pPr>
        <w:pStyle w:val="ListParagraph"/>
        <w:rPr>
          <w:rFonts w:ascii="Arial" w:hAnsi="Arial" w:cs="Arial"/>
          <w:b/>
        </w:rPr>
      </w:pPr>
    </w:p>
    <w:p w:rsidR="006F3DF0" w:rsidRPr="001B7FDD" w:rsidRDefault="006F3DF0" w:rsidP="006F3DF0">
      <w:pPr>
        <w:pStyle w:val="Heading1"/>
        <w:rPr>
          <w:rFonts w:ascii="Arial" w:hAnsi="Arial" w:cs="Arial"/>
          <w:sz w:val="28"/>
          <w:szCs w:val="28"/>
        </w:rPr>
      </w:pPr>
      <w:bookmarkStart w:id="6" w:name="_Toc34831778"/>
      <w:r w:rsidRPr="001B7FDD">
        <w:rPr>
          <w:rFonts w:ascii="Arial" w:hAnsi="Arial" w:cs="Arial"/>
          <w:sz w:val="28"/>
          <w:szCs w:val="28"/>
        </w:rPr>
        <w:t>6.</w:t>
      </w:r>
      <w:r w:rsidRPr="001B7FDD">
        <w:rPr>
          <w:rFonts w:ascii="Arial" w:hAnsi="Arial" w:cs="Arial"/>
          <w:sz w:val="28"/>
          <w:szCs w:val="28"/>
        </w:rPr>
        <w:tab/>
        <w:t>Higher Hourly Rates in Exceptional Circumstances</w:t>
      </w:r>
      <w:bookmarkEnd w:id="6"/>
      <w:r w:rsidRPr="001B7FDD">
        <w:rPr>
          <w:rFonts w:ascii="Arial" w:hAnsi="Arial" w:cs="Arial"/>
          <w:sz w:val="28"/>
          <w:szCs w:val="28"/>
        </w:rPr>
        <w:t xml:space="preserve"> </w:t>
      </w:r>
    </w:p>
    <w:p w:rsidR="006F3DF0" w:rsidRDefault="006F3DF0" w:rsidP="00AE47EB">
      <w:pPr>
        <w:pStyle w:val="ListParagraph"/>
        <w:rPr>
          <w:rFonts w:ascii="Arial" w:hAnsi="Arial" w:cs="Arial"/>
          <w:sz w:val="24"/>
          <w:szCs w:val="24"/>
        </w:rPr>
      </w:pPr>
    </w:p>
    <w:p w:rsidR="006F3DF0" w:rsidRDefault="006F3DF0" w:rsidP="006F3DF0">
      <w:pPr>
        <w:pStyle w:val="ListParagraph"/>
        <w:ind w:left="709" w:hanging="567"/>
        <w:rPr>
          <w:rFonts w:ascii="Arial" w:hAnsi="Arial" w:cs="Arial"/>
          <w:b/>
        </w:rPr>
      </w:pPr>
      <w:r>
        <w:rPr>
          <w:rFonts w:ascii="Arial" w:hAnsi="Arial" w:cs="Arial"/>
          <w:sz w:val="24"/>
          <w:szCs w:val="24"/>
        </w:rPr>
        <w:t xml:space="preserve">6.1 </w:t>
      </w:r>
      <w:r>
        <w:rPr>
          <w:rFonts w:ascii="Arial" w:hAnsi="Arial" w:cs="Arial"/>
          <w:sz w:val="24"/>
          <w:szCs w:val="24"/>
        </w:rPr>
        <w:tab/>
        <w:t>A request for higher hourly rates may be made under prior authority in exceptional circumstances.</w:t>
      </w:r>
    </w:p>
    <w:p w:rsidR="006F3DF0" w:rsidRDefault="006F3DF0" w:rsidP="006F3DF0">
      <w:pPr>
        <w:ind w:left="709" w:hanging="709"/>
        <w:rPr>
          <w:rFonts w:ascii="Arial" w:hAnsi="Arial" w:cs="Arial"/>
        </w:rPr>
      </w:pPr>
      <w:r>
        <w:rPr>
          <w:rFonts w:ascii="Arial" w:hAnsi="Arial" w:cs="Arial"/>
        </w:rPr>
        <w:t xml:space="preserve">6.2 </w:t>
      </w:r>
      <w:r>
        <w:rPr>
          <w:rFonts w:ascii="Arial" w:hAnsi="Arial" w:cs="Arial"/>
        </w:rPr>
        <w:tab/>
        <w:t>Exceptional circumstances are where the expert’s evidence is key to the client’s case and either—</w:t>
      </w:r>
    </w:p>
    <w:p w:rsidR="006F3DF0" w:rsidRDefault="006F3DF0" w:rsidP="006F3DF0">
      <w:pPr>
        <w:ind w:left="720"/>
        <w:rPr>
          <w:rFonts w:ascii="Arial" w:hAnsi="Arial" w:cs="Arial"/>
        </w:rPr>
      </w:pPr>
      <w:r>
        <w:rPr>
          <w:rFonts w:ascii="Arial" w:hAnsi="Arial" w:cs="Arial"/>
        </w:rPr>
        <w:t xml:space="preserve">a) </w:t>
      </w:r>
      <w:r>
        <w:rPr>
          <w:rFonts w:ascii="Arial" w:hAnsi="Arial" w:cs="Arial"/>
        </w:rPr>
        <w:tab/>
        <w:t>the complexity of the material is such that an expert with a high level of seniority is required; or</w:t>
      </w:r>
    </w:p>
    <w:p w:rsidR="006F3DF0" w:rsidRDefault="006F3DF0" w:rsidP="006F3DF0">
      <w:pPr>
        <w:ind w:left="720"/>
        <w:rPr>
          <w:rFonts w:ascii="Arial" w:hAnsi="Arial" w:cs="Arial"/>
        </w:rPr>
      </w:pPr>
      <w:r>
        <w:rPr>
          <w:rFonts w:ascii="Arial" w:hAnsi="Arial" w:cs="Arial"/>
        </w:rPr>
        <w:t xml:space="preserve">b) </w:t>
      </w:r>
      <w:r>
        <w:rPr>
          <w:rFonts w:ascii="Arial" w:hAnsi="Arial" w:cs="Arial"/>
        </w:rPr>
        <w:tab/>
        <w:t>the material is of such a specialised and unusual nature that only very few experts are available to provide the necessary evidence.</w:t>
      </w:r>
    </w:p>
    <w:p w:rsidR="006F3DF0" w:rsidRDefault="006F3DF0" w:rsidP="006F3DF0">
      <w:pPr>
        <w:ind w:left="720"/>
        <w:rPr>
          <w:rFonts w:ascii="Arial" w:hAnsi="Arial" w:cs="Arial"/>
        </w:rPr>
      </w:pPr>
    </w:p>
    <w:p w:rsidR="006F3DF0" w:rsidRDefault="006F3DF0" w:rsidP="006F3DF0">
      <w:pPr>
        <w:ind w:left="709" w:hanging="709"/>
        <w:rPr>
          <w:rFonts w:ascii="Arial" w:hAnsi="Arial" w:cs="Arial"/>
        </w:rPr>
      </w:pPr>
      <w:r>
        <w:rPr>
          <w:rFonts w:ascii="Arial" w:hAnsi="Arial" w:cs="Arial"/>
        </w:rPr>
        <w:t>6.3</w:t>
      </w:r>
      <w:r>
        <w:rPr>
          <w:rFonts w:ascii="Arial" w:hAnsi="Arial" w:cs="Arial"/>
        </w:rPr>
        <w:tab/>
        <w:t>Higher rates will not be allowed merely because any party</w:t>
      </w:r>
      <w:r w:rsidR="00F31F5E">
        <w:rPr>
          <w:rFonts w:ascii="Arial" w:hAnsi="Arial" w:cs="Arial"/>
        </w:rPr>
        <w:t xml:space="preserve"> or the court</w:t>
      </w:r>
      <w:r>
        <w:rPr>
          <w:rFonts w:ascii="Arial" w:hAnsi="Arial" w:cs="Arial"/>
        </w:rPr>
        <w:t xml:space="preserve"> has a preference for a more expensive expert.</w:t>
      </w:r>
    </w:p>
    <w:p w:rsidR="006F3DF0" w:rsidRDefault="006F3DF0" w:rsidP="006F3DF0">
      <w:pPr>
        <w:ind w:left="709" w:hanging="709"/>
        <w:rPr>
          <w:rFonts w:ascii="Arial" w:hAnsi="Arial" w:cs="Arial"/>
        </w:rPr>
      </w:pPr>
    </w:p>
    <w:p w:rsidR="006F3DF0" w:rsidRDefault="0025212C" w:rsidP="006F3DF0">
      <w:pPr>
        <w:ind w:left="709" w:hanging="709"/>
        <w:rPr>
          <w:rFonts w:ascii="Arial" w:hAnsi="Arial" w:cs="Arial"/>
        </w:rPr>
      </w:pPr>
      <w:r>
        <w:rPr>
          <w:rFonts w:ascii="Arial" w:hAnsi="Arial" w:cs="Arial"/>
          <w:noProof/>
          <w:lang w:eastAsia="en-GB"/>
        </w:rPr>
        <w:pict>
          <v:shape id="_x0000_s1035" type="#_x0000_t202" style="position:absolute;left:0;text-align:left;margin-left:41.6pt;margin-top:2.75pt;width:414.75pt;height:66.75pt;z-index:251665408" fillcolor="white [3201]" strokecolor="#b2a1c7 [1943]" strokeweight="1pt">
            <v:fill color2="#ccc0d9 [1303]" focusposition="1" focussize="" focus="100%" type="gradient"/>
            <v:shadow on="t" type="perspective" color="#3f3151 [1607]" opacity=".5" offset="1pt" offset2="-3pt"/>
            <v:textbox>
              <w:txbxContent>
                <w:p w:rsidR="001B7FDD" w:rsidRDefault="001B7FDD">
                  <w:r>
                    <w:t>Q.4 Do you agree with the criteria above for exceptional circumstances to be considered in a request to pay a higher hourly rate?</w:t>
                  </w:r>
                </w:p>
              </w:txbxContent>
            </v:textbox>
          </v:shape>
        </w:pict>
      </w:r>
    </w:p>
    <w:p w:rsidR="006F3DF0" w:rsidRPr="00D3408F" w:rsidRDefault="006F3DF0" w:rsidP="00AE47EB">
      <w:pPr>
        <w:pStyle w:val="ListParagraph"/>
        <w:rPr>
          <w:rFonts w:ascii="Arial" w:hAnsi="Arial" w:cs="Arial"/>
          <w:b/>
        </w:rPr>
      </w:pPr>
    </w:p>
    <w:p w:rsidR="00C76625" w:rsidRPr="001B7FDD" w:rsidRDefault="00D1777F" w:rsidP="00125B54">
      <w:pPr>
        <w:pStyle w:val="Heading1"/>
        <w:rPr>
          <w:rFonts w:ascii="Arial" w:hAnsi="Arial" w:cs="Arial"/>
          <w:sz w:val="28"/>
          <w:szCs w:val="28"/>
        </w:rPr>
      </w:pPr>
      <w:r>
        <w:br w:type="page"/>
      </w:r>
      <w:bookmarkStart w:id="7" w:name="_Toc34831779"/>
      <w:r w:rsidR="00737243" w:rsidRPr="001B7FDD">
        <w:rPr>
          <w:rFonts w:ascii="Arial" w:hAnsi="Arial" w:cs="Arial"/>
          <w:sz w:val="28"/>
          <w:szCs w:val="28"/>
        </w:rPr>
        <w:lastRenderedPageBreak/>
        <w:t>7</w:t>
      </w:r>
      <w:r w:rsidR="00816048" w:rsidRPr="001B7FDD">
        <w:rPr>
          <w:rFonts w:ascii="Arial" w:hAnsi="Arial" w:cs="Arial"/>
          <w:sz w:val="28"/>
          <w:szCs w:val="28"/>
        </w:rPr>
        <w:t>.</w:t>
      </w:r>
      <w:r w:rsidR="00816048" w:rsidRPr="001B7FDD">
        <w:rPr>
          <w:rFonts w:ascii="Arial" w:hAnsi="Arial" w:cs="Arial"/>
          <w:sz w:val="28"/>
          <w:szCs w:val="28"/>
        </w:rPr>
        <w:tab/>
      </w:r>
      <w:r w:rsidR="00C76625" w:rsidRPr="001B7FDD">
        <w:rPr>
          <w:rFonts w:ascii="Arial" w:hAnsi="Arial" w:cs="Arial"/>
          <w:sz w:val="28"/>
          <w:szCs w:val="28"/>
        </w:rPr>
        <w:t xml:space="preserve">The </w:t>
      </w:r>
      <w:r w:rsidR="006F3DF0" w:rsidRPr="001B7FDD">
        <w:rPr>
          <w:rFonts w:ascii="Arial" w:hAnsi="Arial" w:cs="Arial"/>
          <w:sz w:val="28"/>
          <w:szCs w:val="28"/>
        </w:rPr>
        <w:t>N</w:t>
      </w:r>
      <w:r w:rsidR="00C76625" w:rsidRPr="001B7FDD">
        <w:rPr>
          <w:rFonts w:ascii="Arial" w:hAnsi="Arial" w:cs="Arial"/>
          <w:sz w:val="28"/>
          <w:szCs w:val="28"/>
        </w:rPr>
        <w:t xml:space="preserve">umber of Hours to be </w:t>
      </w:r>
      <w:proofErr w:type="gramStart"/>
      <w:r w:rsidR="00C76625" w:rsidRPr="001B7FDD">
        <w:rPr>
          <w:rFonts w:ascii="Arial" w:hAnsi="Arial" w:cs="Arial"/>
          <w:sz w:val="28"/>
          <w:szCs w:val="28"/>
        </w:rPr>
        <w:t>Allowed</w:t>
      </w:r>
      <w:bookmarkEnd w:id="7"/>
      <w:proofErr w:type="gramEnd"/>
    </w:p>
    <w:p w:rsidR="004C5182" w:rsidRPr="00D3408F" w:rsidRDefault="004C5182" w:rsidP="00C76625">
      <w:pPr>
        <w:rPr>
          <w:rFonts w:ascii="Arial" w:hAnsi="Arial" w:cs="Arial"/>
          <w:b/>
        </w:rPr>
      </w:pPr>
    </w:p>
    <w:p w:rsidR="00C76625" w:rsidRPr="001653E1" w:rsidRDefault="00737243" w:rsidP="00816048">
      <w:pPr>
        <w:pStyle w:val="ListParagraph"/>
        <w:ind w:left="709" w:hanging="567"/>
        <w:rPr>
          <w:rFonts w:ascii="Arial" w:hAnsi="Arial" w:cs="Arial"/>
          <w:sz w:val="24"/>
          <w:szCs w:val="24"/>
        </w:rPr>
      </w:pPr>
      <w:r>
        <w:rPr>
          <w:rFonts w:ascii="Arial" w:hAnsi="Arial" w:cs="Arial"/>
          <w:sz w:val="24"/>
          <w:szCs w:val="24"/>
        </w:rPr>
        <w:t>7</w:t>
      </w:r>
      <w:r w:rsidR="00816048">
        <w:rPr>
          <w:rFonts w:ascii="Arial" w:hAnsi="Arial" w:cs="Arial"/>
          <w:sz w:val="24"/>
          <w:szCs w:val="24"/>
        </w:rPr>
        <w:t>.1</w:t>
      </w:r>
      <w:r w:rsidR="00816048">
        <w:rPr>
          <w:rFonts w:ascii="Arial" w:hAnsi="Arial" w:cs="Arial"/>
          <w:sz w:val="24"/>
          <w:szCs w:val="24"/>
        </w:rPr>
        <w:tab/>
      </w:r>
      <w:r w:rsidR="004C5182">
        <w:rPr>
          <w:rFonts w:ascii="Arial" w:hAnsi="Arial" w:cs="Arial"/>
          <w:sz w:val="24"/>
          <w:szCs w:val="24"/>
        </w:rPr>
        <w:t xml:space="preserve">A file review identified </w:t>
      </w:r>
      <w:r w:rsidR="00C76625" w:rsidRPr="001653E1">
        <w:rPr>
          <w:rFonts w:ascii="Arial" w:hAnsi="Arial" w:cs="Arial"/>
          <w:sz w:val="24"/>
          <w:szCs w:val="24"/>
        </w:rPr>
        <w:t xml:space="preserve">a great range in the number of hours deployed by experts.  The range for psychiatrists was from 2 – 25 hours and for psychologists was 3 – 53 hours. The lower number of hours used often entail addendum reports.  The higher number of hours can relate to the reading material involved, the type of report and the number of parties to be reported on.  </w:t>
      </w:r>
      <w:r w:rsidR="00C76625">
        <w:rPr>
          <w:rFonts w:ascii="Arial" w:hAnsi="Arial" w:cs="Arial"/>
          <w:sz w:val="24"/>
          <w:szCs w:val="24"/>
        </w:rPr>
        <w:br/>
      </w:r>
    </w:p>
    <w:p w:rsidR="00C76625" w:rsidRPr="004C5182" w:rsidRDefault="00737243" w:rsidP="00816048">
      <w:pPr>
        <w:pStyle w:val="ListParagraph"/>
        <w:ind w:left="709" w:hanging="567"/>
        <w:rPr>
          <w:rFonts w:ascii="Arial" w:hAnsi="Arial" w:cs="Arial"/>
        </w:rPr>
      </w:pPr>
      <w:r>
        <w:rPr>
          <w:rFonts w:ascii="Arial" w:hAnsi="Arial" w:cs="Arial"/>
          <w:sz w:val="24"/>
          <w:szCs w:val="24"/>
        </w:rPr>
        <w:t>7</w:t>
      </w:r>
      <w:r w:rsidR="00816048">
        <w:rPr>
          <w:rFonts w:ascii="Arial" w:hAnsi="Arial" w:cs="Arial"/>
          <w:sz w:val="24"/>
          <w:szCs w:val="24"/>
        </w:rPr>
        <w:t>.2</w:t>
      </w:r>
      <w:r w:rsidR="00816048">
        <w:rPr>
          <w:rFonts w:ascii="Arial" w:hAnsi="Arial" w:cs="Arial"/>
          <w:sz w:val="24"/>
          <w:szCs w:val="24"/>
        </w:rPr>
        <w:tab/>
      </w:r>
      <w:r w:rsidR="00C76625" w:rsidRPr="004C5182">
        <w:rPr>
          <w:rFonts w:ascii="Arial" w:hAnsi="Arial" w:cs="Arial"/>
          <w:sz w:val="24"/>
          <w:szCs w:val="24"/>
        </w:rPr>
        <w:t xml:space="preserve">It is proposed that the number of hours allowed </w:t>
      </w:r>
      <w:r w:rsidR="006F3DF0">
        <w:rPr>
          <w:rFonts w:ascii="Arial" w:hAnsi="Arial" w:cs="Arial"/>
          <w:sz w:val="24"/>
          <w:szCs w:val="24"/>
        </w:rPr>
        <w:t xml:space="preserve">under the General Authority </w:t>
      </w:r>
      <w:r w:rsidR="00C76625" w:rsidRPr="004C5182">
        <w:rPr>
          <w:rFonts w:ascii="Arial" w:hAnsi="Arial" w:cs="Arial"/>
          <w:sz w:val="24"/>
          <w:szCs w:val="24"/>
        </w:rPr>
        <w:t>are as per the table below which is based on the evidence from the file review and the experience of adjudicators in LSANI.</w:t>
      </w:r>
      <w:r w:rsidR="004C5182">
        <w:rPr>
          <w:rFonts w:ascii="Arial" w:hAnsi="Arial" w:cs="Arial"/>
          <w:sz w:val="24"/>
          <w:szCs w:val="24"/>
        </w:rPr>
        <w:t xml:space="preserve">  This number of hours should </w:t>
      </w:r>
      <w:r w:rsidR="00D2233E">
        <w:rPr>
          <w:rFonts w:ascii="Arial" w:hAnsi="Arial" w:cs="Arial"/>
          <w:sz w:val="24"/>
          <w:szCs w:val="24"/>
        </w:rPr>
        <w:t>allow the majority of cases to be captured by the General Authority.</w:t>
      </w:r>
      <w:r w:rsidR="006F3DF0">
        <w:rPr>
          <w:rFonts w:ascii="Arial" w:hAnsi="Arial" w:cs="Arial"/>
          <w:sz w:val="24"/>
          <w:szCs w:val="24"/>
        </w:rPr>
        <w:t xml:space="preserve">  If more hours are required, a request for prior authority must be made to LSANI.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76625" w:rsidRPr="00F019DA" w:rsidTr="0040343E">
        <w:tc>
          <w:tcPr>
            <w:tcW w:w="9242" w:type="dxa"/>
            <w:gridSpan w:val="4"/>
            <w:shd w:val="clear" w:color="auto" w:fill="E5DFEC" w:themeFill="accent4" w:themeFillTint="33"/>
          </w:tcPr>
          <w:p w:rsidR="00C76625" w:rsidRDefault="00C76625" w:rsidP="00C76625">
            <w:pPr>
              <w:rPr>
                <w:rFonts w:ascii="Arial" w:eastAsia="Calibri" w:hAnsi="Arial" w:cs="Arial"/>
              </w:rPr>
            </w:pPr>
            <w:r w:rsidRPr="00125B54">
              <w:rPr>
                <w:rFonts w:ascii="Arial" w:eastAsia="Calibri" w:hAnsi="Arial" w:cs="Arial"/>
              </w:rPr>
              <w:t xml:space="preserve">Number of hours above which prior authority must be applied for </w:t>
            </w:r>
          </w:p>
          <w:p w:rsidR="00816048" w:rsidRPr="00125B54" w:rsidRDefault="00816048" w:rsidP="00C76625">
            <w:pPr>
              <w:rPr>
                <w:rFonts w:ascii="Arial" w:eastAsia="Calibri" w:hAnsi="Arial" w:cs="Arial"/>
              </w:rPr>
            </w:pPr>
          </w:p>
        </w:tc>
      </w:tr>
      <w:tr w:rsidR="00C76625" w:rsidRPr="00F019DA" w:rsidTr="0040343E">
        <w:tc>
          <w:tcPr>
            <w:tcW w:w="2310"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Expert Type</w:t>
            </w:r>
          </w:p>
        </w:tc>
        <w:tc>
          <w:tcPr>
            <w:tcW w:w="2310"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One individual to be assessed</w:t>
            </w:r>
          </w:p>
        </w:tc>
        <w:tc>
          <w:tcPr>
            <w:tcW w:w="2311"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Two individuals to be assessed</w:t>
            </w:r>
          </w:p>
        </w:tc>
        <w:tc>
          <w:tcPr>
            <w:tcW w:w="2311"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More than 2 individuals to be assessed</w:t>
            </w:r>
          </w:p>
        </w:tc>
      </w:tr>
      <w:tr w:rsidR="00C76625" w:rsidRPr="00F019DA" w:rsidTr="0040343E">
        <w:tc>
          <w:tcPr>
            <w:tcW w:w="2310"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Psychologist (inc Child Psychologist)</w:t>
            </w:r>
          </w:p>
        </w:tc>
        <w:tc>
          <w:tcPr>
            <w:tcW w:w="2310" w:type="dxa"/>
            <w:shd w:val="clear" w:color="auto" w:fill="auto"/>
          </w:tcPr>
          <w:p w:rsidR="00C76625" w:rsidRPr="00125B54" w:rsidRDefault="00C76625" w:rsidP="00C76625">
            <w:pPr>
              <w:rPr>
                <w:rFonts w:ascii="Arial" w:eastAsia="Calibri" w:hAnsi="Arial" w:cs="Arial"/>
                <w:color w:val="FF0000"/>
              </w:rPr>
            </w:pPr>
            <w:r w:rsidRPr="00125B54">
              <w:rPr>
                <w:rFonts w:ascii="Arial" w:eastAsia="Calibri" w:hAnsi="Arial" w:cs="Arial"/>
              </w:rPr>
              <w:t xml:space="preserve">10 </w:t>
            </w:r>
          </w:p>
        </w:tc>
        <w:tc>
          <w:tcPr>
            <w:tcW w:w="2311"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15</w:t>
            </w:r>
          </w:p>
        </w:tc>
        <w:tc>
          <w:tcPr>
            <w:tcW w:w="2311"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20</w:t>
            </w:r>
          </w:p>
        </w:tc>
      </w:tr>
      <w:tr w:rsidR="00C76625" w:rsidRPr="00F019DA" w:rsidTr="0040343E">
        <w:tc>
          <w:tcPr>
            <w:tcW w:w="2310"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Child Psychiatrist</w:t>
            </w:r>
          </w:p>
        </w:tc>
        <w:tc>
          <w:tcPr>
            <w:tcW w:w="2310"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10</w:t>
            </w:r>
          </w:p>
        </w:tc>
        <w:tc>
          <w:tcPr>
            <w:tcW w:w="2311"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15</w:t>
            </w:r>
          </w:p>
        </w:tc>
        <w:tc>
          <w:tcPr>
            <w:tcW w:w="2311"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20</w:t>
            </w:r>
          </w:p>
        </w:tc>
      </w:tr>
      <w:tr w:rsidR="00C76625" w:rsidRPr="00F019DA" w:rsidTr="0040343E">
        <w:trPr>
          <w:cantSplit/>
        </w:trPr>
        <w:tc>
          <w:tcPr>
            <w:tcW w:w="2310"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Psychiatrist (full report)</w:t>
            </w:r>
          </w:p>
        </w:tc>
        <w:tc>
          <w:tcPr>
            <w:tcW w:w="2310"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10</w:t>
            </w:r>
          </w:p>
        </w:tc>
        <w:tc>
          <w:tcPr>
            <w:tcW w:w="2311"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15</w:t>
            </w:r>
          </w:p>
        </w:tc>
        <w:tc>
          <w:tcPr>
            <w:tcW w:w="2311"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20</w:t>
            </w:r>
          </w:p>
        </w:tc>
      </w:tr>
      <w:tr w:rsidR="00C76625" w:rsidRPr="00F019DA" w:rsidTr="0040343E">
        <w:tc>
          <w:tcPr>
            <w:tcW w:w="2310" w:type="dxa"/>
            <w:shd w:val="clear" w:color="auto" w:fill="E5DFEC" w:themeFill="accent4" w:themeFillTint="33"/>
          </w:tcPr>
          <w:p w:rsidR="00C76625" w:rsidRPr="00125B54" w:rsidRDefault="00C76625" w:rsidP="00C76625">
            <w:pPr>
              <w:rPr>
                <w:rFonts w:ascii="Arial" w:eastAsia="Calibri" w:hAnsi="Arial" w:cs="Arial"/>
              </w:rPr>
            </w:pPr>
            <w:r w:rsidRPr="00125B54">
              <w:rPr>
                <w:rFonts w:ascii="Arial" w:eastAsia="Calibri" w:hAnsi="Arial" w:cs="Arial"/>
              </w:rPr>
              <w:t>Psychiatrist (Competence Report)</w:t>
            </w:r>
          </w:p>
        </w:tc>
        <w:tc>
          <w:tcPr>
            <w:tcW w:w="2310" w:type="dxa"/>
            <w:shd w:val="clear" w:color="auto" w:fill="auto"/>
          </w:tcPr>
          <w:p w:rsidR="00C76625" w:rsidRPr="00125B54" w:rsidRDefault="00C76625" w:rsidP="00C76625">
            <w:pPr>
              <w:rPr>
                <w:rFonts w:ascii="Arial" w:eastAsia="Calibri" w:hAnsi="Arial" w:cs="Arial"/>
              </w:rPr>
            </w:pPr>
            <w:r w:rsidRPr="00125B54">
              <w:rPr>
                <w:rFonts w:ascii="Arial" w:eastAsia="Calibri" w:hAnsi="Arial" w:cs="Arial"/>
              </w:rPr>
              <w:t>5</w:t>
            </w:r>
          </w:p>
        </w:tc>
        <w:tc>
          <w:tcPr>
            <w:tcW w:w="2311" w:type="dxa"/>
            <w:shd w:val="clear" w:color="auto" w:fill="auto"/>
          </w:tcPr>
          <w:p w:rsidR="00C76625" w:rsidRPr="00125B54" w:rsidRDefault="00F31F5E" w:rsidP="00C76625">
            <w:pPr>
              <w:rPr>
                <w:rFonts w:ascii="Arial" w:eastAsia="Calibri" w:hAnsi="Arial" w:cs="Arial"/>
              </w:rPr>
            </w:pPr>
            <w:r>
              <w:rPr>
                <w:rFonts w:ascii="Arial" w:eastAsia="Calibri" w:hAnsi="Arial" w:cs="Arial"/>
              </w:rPr>
              <w:t>N/A</w:t>
            </w:r>
          </w:p>
        </w:tc>
        <w:tc>
          <w:tcPr>
            <w:tcW w:w="2311" w:type="dxa"/>
            <w:shd w:val="clear" w:color="auto" w:fill="auto"/>
          </w:tcPr>
          <w:p w:rsidR="00C76625" w:rsidRPr="00125B54" w:rsidRDefault="00F31F5E" w:rsidP="00C76625">
            <w:pPr>
              <w:rPr>
                <w:rFonts w:ascii="Arial" w:eastAsia="Calibri" w:hAnsi="Arial" w:cs="Arial"/>
              </w:rPr>
            </w:pPr>
            <w:r>
              <w:rPr>
                <w:rFonts w:ascii="Arial" w:eastAsia="Calibri" w:hAnsi="Arial" w:cs="Arial"/>
              </w:rPr>
              <w:t>N/A</w:t>
            </w:r>
          </w:p>
        </w:tc>
      </w:tr>
    </w:tbl>
    <w:p w:rsidR="00C76625" w:rsidRDefault="00C76625" w:rsidP="00C76625">
      <w:pPr>
        <w:rPr>
          <w:rFonts w:ascii="Arial" w:hAnsi="Arial" w:cs="Arial"/>
        </w:rPr>
      </w:pPr>
    </w:p>
    <w:p w:rsidR="00C76625" w:rsidRDefault="00737243" w:rsidP="00816048">
      <w:pPr>
        <w:pStyle w:val="ListParagraph"/>
        <w:ind w:left="709" w:hanging="567"/>
        <w:rPr>
          <w:rFonts w:ascii="Arial" w:hAnsi="Arial" w:cs="Arial"/>
          <w:sz w:val="24"/>
          <w:szCs w:val="24"/>
        </w:rPr>
      </w:pPr>
      <w:r>
        <w:rPr>
          <w:rFonts w:ascii="Arial" w:hAnsi="Arial" w:cs="Arial"/>
          <w:sz w:val="24"/>
          <w:szCs w:val="24"/>
        </w:rPr>
        <w:t>7</w:t>
      </w:r>
      <w:r w:rsidR="00816048">
        <w:rPr>
          <w:rFonts w:ascii="Arial" w:hAnsi="Arial" w:cs="Arial"/>
          <w:sz w:val="24"/>
          <w:szCs w:val="24"/>
        </w:rPr>
        <w:t>.3</w:t>
      </w:r>
      <w:r w:rsidR="00816048">
        <w:rPr>
          <w:rFonts w:ascii="Arial" w:hAnsi="Arial" w:cs="Arial"/>
          <w:sz w:val="24"/>
          <w:szCs w:val="24"/>
        </w:rPr>
        <w:tab/>
      </w:r>
      <w:r w:rsidR="00C76625">
        <w:rPr>
          <w:rFonts w:ascii="Arial" w:hAnsi="Arial" w:cs="Arial"/>
          <w:sz w:val="24"/>
          <w:szCs w:val="24"/>
        </w:rPr>
        <w:t xml:space="preserve">The hours allowed covers all work including reading time, interviews, consultations, observations and writing of reports.  The hours do not include travel time. </w:t>
      </w:r>
      <w:r w:rsidR="00C76625">
        <w:rPr>
          <w:rFonts w:ascii="Arial" w:hAnsi="Arial" w:cs="Arial"/>
          <w:sz w:val="24"/>
          <w:szCs w:val="24"/>
        </w:rPr>
        <w:br/>
      </w:r>
    </w:p>
    <w:p w:rsidR="00C76625" w:rsidRDefault="00737243" w:rsidP="00816048">
      <w:pPr>
        <w:pStyle w:val="ListParagraph"/>
        <w:ind w:left="709" w:hanging="567"/>
      </w:pPr>
      <w:r>
        <w:rPr>
          <w:rFonts w:ascii="Arial" w:hAnsi="Arial" w:cs="Arial"/>
          <w:sz w:val="24"/>
          <w:szCs w:val="24"/>
        </w:rPr>
        <w:t>7</w:t>
      </w:r>
      <w:r w:rsidR="00816048">
        <w:rPr>
          <w:rFonts w:ascii="Arial" w:hAnsi="Arial" w:cs="Arial"/>
          <w:sz w:val="24"/>
          <w:szCs w:val="24"/>
        </w:rPr>
        <w:t>.4</w:t>
      </w:r>
      <w:r w:rsidR="00816048">
        <w:rPr>
          <w:rFonts w:ascii="Arial" w:hAnsi="Arial" w:cs="Arial"/>
          <w:sz w:val="24"/>
          <w:szCs w:val="24"/>
        </w:rPr>
        <w:tab/>
      </w:r>
      <w:r w:rsidR="00C76625" w:rsidRPr="00D3408F">
        <w:rPr>
          <w:rFonts w:ascii="Arial" w:hAnsi="Arial" w:cs="Arial"/>
          <w:sz w:val="24"/>
          <w:szCs w:val="24"/>
        </w:rPr>
        <w:t>By applying the cap at this level the General Authority should capture the routine cases, however, it will allow LSANI to exercise financial control in more complex cases where a high</w:t>
      </w:r>
      <w:r w:rsidR="00C76625">
        <w:rPr>
          <w:rFonts w:ascii="Arial" w:hAnsi="Arial" w:cs="Arial"/>
          <w:sz w:val="24"/>
          <w:szCs w:val="24"/>
        </w:rPr>
        <w:t>er</w:t>
      </w:r>
      <w:r w:rsidR="00C76625" w:rsidRPr="00D3408F">
        <w:rPr>
          <w:rFonts w:ascii="Arial" w:hAnsi="Arial" w:cs="Arial"/>
          <w:sz w:val="24"/>
          <w:szCs w:val="24"/>
        </w:rPr>
        <w:t xml:space="preserve"> volume of hours is required.  It will address the concerns of The Review of Civil and Family Justice: “experience suggests that hourly rates can cause problems because they encourage an expert to take as long as possible and/or to follow every possible avenue of enquiry”.  </w:t>
      </w:r>
      <w:r w:rsidR="00125B54">
        <w:rPr>
          <w:rFonts w:ascii="Arial" w:hAnsi="Arial" w:cs="Arial"/>
          <w:sz w:val="24"/>
          <w:szCs w:val="24"/>
        </w:rPr>
        <w:br/>
      </w:r>
      <w:r w:rsidR="00C76625">
        <w:rPr>
          <w:rFonts w:ascii="Arial" w:hAnsi="Arial" w:cs="Arial"/>
          <w:sz w:val="24"/>
          <w:szCs w:val="24"/>
        </w:rPr>
        <w:br/>
      </w:r>
      <w:r w:rsidR="00C76625">
        <w:br/>
      </w:r>
    </w:p>
    <w:p w:rsidR="00D2233E" w:rsidRDefault="0025212C" w:rsidP="00C76625">
      <w:pPr>
        <w:rPr>
          <w:rFonts w:ascii="Arial" w:hAnsi="Arial" w:cs="Arial"/>
          <w:b/>
        </w:rPr>
      </w:pPr>
      <w:r>
        <w:rPr>
          <w:rFonts w:ascii="Arial" w:hAnsi="Arial" w:cs="Arial"/>
          <w:b/>
          <w:noProof/>
          <w:lang w:eastAsia="en-GB"/>
        </w:rPr>
        <w:pict>
          <v:shape id="_x0000_s1029" type="#_x0000_t202" style="position:absolute;margin-left:21.35pt;margin-top:-33.55pt;width:440.25pt;height:66pt;z-index:251661312" strokecolor="#b2a1c7" strokeweight="1pt">
            <v:fill color2="#ccc0d9" focusposition="1" focussize="" focus="100%" type="gradient"/>
            <v:shadow on="t" type="perspective" color="#3f3151" opacity=".5" offset="1pt" offset2="-3pt"/>
            <v:textbox>
              <w:txbxContent>
                <w:p w:rsidR="001B7FDD" w:rsidRDefault="001B7FDD">
                  <w:r>
                    <w:t>Q.5 Do you agree that the cap on hours proposed is set at the right level to capture the majority of routine cases which require expert opinion?</w:t>
                  </w:r>
                </w:p>
              </w:txbxContent>
            </v:textbox>
          </v:shape>
        </w:pict>
      </w:r>
    </w:p>
    <w:p w:rsidR="00D2233E" w:rsidRDefault="00D2233E" w:rsidP="00C76625">
      <w:pPr>
        <w:rPr>
          <w:rFonts w:ascii="Arial" w:hAnsi="Arial" w:cs="Arial"/>
          <w:b/>
        </w:rPr>
      </w:pPr>
    </w:p>
    <w:p w:rsidR="00D2233E" w:rsidRDefault="00D2233E" w:rsidP="00C76625">
      <w:pPr>
        <w:rPr>
          <w:rFonts w:ascii="Arial" w:hAnsi="Arial" w:cs="Arial"/>
          <w:b/>
        </w:rPr>
      </w:pPr>
    </w:p>
    <w:p w:rsidR="00D2233E" w:rsidRDefault="00D2233E" w:rsidP="00C76625">
      <w:pPr>
        <w:rPr>
          <w:rFonts w:ascii="Arial" w:hAnsi="Arial" w:cs="Arial"/>
          <w:b/>
        </w:rPr>
      </w:pPr>
    </w:p>
    <w:p w:rsidR="00D2233E" w:rsidRDefault="00D2233E" w:rsidP="00C76625">
      <w:pPr>
        <w:rPr>
          <w:rFonts w:ascii="Arial" w:hAnsi="Arial" w:cs="Arial"/>
          <w:b/>
        </w:rPr>
      </w:pPr>
    </w:p>
    <w:p w:rsidR="00C76625" w:rsidRPr="001B7FDD" w:rsidRDefault="00737243" w:rsidP="00125B54">
      <w:pPr>
        <w:pStyle w:val="Heading1"/>
        <w:rPr>
          <w:rFonts w:ascii="Arial" w:hAnsi="Arial" w:cs="Arial"/>
          <w:sz w:val="28"/>
          <w:szCs w:val="28"/>
        </w:rPr>
      </w:pPr>
      <w:bookmarkStart w:id="8" w:name="_Toc34831780"/>
      <w:r w:rsidRPr="001B7FDD">
        <w:rPr>
          <w:rFonts w:ascii="Arial" w:hAnsi="Arial" w:cs="Arial"/>
          <w:sz w:val="28"/>
          <w:szCs w:val="28"/>
        </w:rPr>
        <w:t>8</w:t>
      </w:r>
      <w:r w:rsidR="00816048" w:rsidRPr="001B7FDD">
        <w:rPr>
          <w:rFonts w:ascii="Arial" w:hAnsi="Arial" w:cs="Arial"/>
          <w:sz w:val="28"/>
          <w:szCs w:val="28"/>
        </w:rPr>
        <w:t>.</w:t>
      </w:r>
      <w:r w:rsidR="00816048" w:rsidRPr="001B7FDD">
        <w:rPr>
          <w:rFonts w:ascii="Arial" w:hAnsi="Arial" w:cs="Arial"/>
          <w:sz w:val="28"/>
          <w:szCs w:val="28"/>
        </w:rPr>
        <w:tab/>
      </w:r>
      <w:r w:rsidR="00C76625" w:rsidRPr="001B7FDD">
        <w:rPr>
          <w:rFonts w:ascii="Arial" w:hAnsi="Arial" w:cs="Arial"/>
          <w:sz w:val="28"/>
          <w:szCs w:val="28"/>
        </w:rPr>
        <w:t>Court Attendance</w:t>
      </w:r>
      <w:bookmarkEnd w:id="8"/>
    </w:p>
    <w:p w:rsidR="00D2233E" w:rsidRPr="00D3408F" w:rsidRDefault="00D2233E" w:rsidP="00C76625">
      <w:pPr>
        <w:rPr>
          <w:rFonts w:ascii="Arial" w:hAnsi="Arial" w:cs="Arial"/>
          <w:b/>
        </w:rPr>
      </w:pPr>
    </w:p>
    <w:p w:rsidR="00C76625" w:rsidRDefault="00737243" w:rsidP="00816048">
      <w:pPr>
        <w:pStyle w:val="ListParagraph"/>
        <w:ind w:left="709" w:hanging="567"/>
        <w:rPr>
          <w:rFonts w:ascii="Arial" w:hAnsi="Arial" w:cs="Arial"/>
          <w:sz w:val="24"/>
          <w:szCs w:val="24"/>
        </w:rPr>
      </w:pPr>
      <w:r>
        <w:rPr>
          <w:rFonts w:ascii="Arial" w:hAnsi="Arial" w:cs="Arial"/>
          <w:sz w:val="24"/>
          <w:szCs w:val="24"/>
        </w:rPr>
        <w:t>8</w:t>
      </w:r>
      <w:r w:rsidR="00816048">
        <w:rPr>
          <w:rFonts w:ascii="Arial" w:hAnsi="Arial" w:cs="Arial"/>
          <w:sz w:val="24"/>
          <w:szCs w:val="24"/>
        </w:rPr>
        <w:t>.1</w:t>
      </w:r>
      <w:r w:rsidR="00816048">
        <w:rPr>
          <w:rFonts w:ascii="Arial" w:hAnsi="Arial" w:cs="Arial"/>
          <w:sz w:val="24"/>
          <w:szCs w:val="24"/>
        </w:rPr>
        <w:tab/>
      </w:r>
      <w:r w:rsidR="00C76625">
        <w:rPr>
          <w:rFonts w:ascii="Arial" w:hAnsi="Arial" w:cs="Arial"/>
          <w:sz w:val="24"/>
          <w:szCs w:val="24"/>
        </w:rPr>
        <w:t xml:space="preserve">The General Authority for Medical Fees in Civil Cases which issued in September 2001 allows for £203.50 for a half days court attendance and £297.00 for a full days court attendance, however, these fees are out of date and rarely applied.  The fees are set on a case by case basis and this leads to divergence in the rates allowed in civil cases and a divergence between the rates allowed between civil and criminal cases.  </w:t>
      </w:r>
      <w:r w:rsidR="00C76625">
        <w:rPr>
          <w:rFonts w:ascii="Arial" w:hAnsi="Arial" w:cs="Arial"/>
          <w:sz w:val="24"/>
          <w:szCs w:val="24"/>
        </w:rPr>
        <w:br/>
      </w:r>
    </w:p>
    <w:p w:rsidR="00C76625" w:rsidRDefault="00737243" w:rsidP="00816048">
      <w:pPr>
        <w:pStyle w:val="ListParagraph"/>
        <w:ind w:left="709" w:hanging="567"/>
        <w:rPr>
          <w:rFonts w:ascii="Arial" w:hAnsi="Arial" w:cs="Arial"/>
          <w:sz w:val="24"/>
          <w:szCs w:val="24"/>
        </w:rPr>
      </w:pPr>
      <w:r>
        <w:rPr>
          <w:rFonts w:ascii="Arial" w:hAnsi="Arial" w:cs="Arial"/>
          <w:sz w:val="24"/>
          <w:szCs w:val="24"/>
        </w:rPr>
        <w:t>8</w:t>
      </w:r>
      <w:r w:rsidR="00816048">
        <w:rPr>
          <w:rFonts w:ascii="Arial" w:hAnsi="Arial" w:cs="Arial"/>
          <w:sz w:val="24"/>
          <w:szCs w:val="24"/>
        </w:rPr>
        <w:t>.2</w:t>
      </w:r>
      <w:r w:rsidR="00816048">
        <w:rPr>
          <w:rFonts w:ascii="Arial" w:hAnsi="Arial" w:cs="Arial"/>
          <w:sz w:val="24"/>
          <w:szCs w:val="24"/>
        </w:rPr>
        <w:tab/>
      </w:r>
      <w:r w:rsidR="00C76625">
        <w:rPr>
          <w:rFonts w:ascii="Arial" w:hAnsi="Arial" w:cs="Arial"/>
          <w:sz w:val="24"/>
          <w:szCs w:val="24"/>
        </w:rPr>
        <w:t xml:space="preserve">It is proposed that experts are allowed </w:t>
      </w:r>
      <w:r w:rsidR="00C76625" w:rsidRPr="00FD0A22">
        <w:rPr>
          <w:rFonts w:ascii="Arial" w:hAnsi="Arial" w:cs="Arial"/>
          <w:sz w:val="24"/>
          <w:szCs w:val="24"/>
        </w:rPr>
        <w:t xml:space="preserve">up to £250 per half day and £500 per full day.  </w:t>
      </w:r>
      <w:r w:rsidR="00C76625">
        <w:rPr>
          <w:rFonts w:ascii="Arial" w:hAnsi="Arial" w:cs="Arial"/>
          <w:sz w:val="24"/>
          <w:szCs w:val="24"/>
        </w:rPr>
        <w:t>This brings the payments into line with the amounts allowed in criminal cases</w:t>
      </w:r>
      <w:r w:rsidR="00C76625" w:rsidRPr="00FD0A22">
        <w:rPr>
          <w:rFonts w:ascii="Arial" w:hAnsi="Arial" w:cs="Arial"/>
          <w:sz w:val="24"/>
          <w:szCs w:val="24"/>
        </w:rPr>
        <w:t>.</w:t>
      </w:r>
    </w:p>
    <w:p w:rsidR="00D2233E" w:rsidRDefault="00D2233E" w:rsidP="00D2233E">
      <w:pPr>
        <w:pStyle w:val="ListParagraph"/>
        <w:ind w:left="0"/>
        <w:rPr>
          <w:rFonts w:ascii="Arial" w:hAnsi="Arial" w:cs="Arial"/>
          <w:sz w:val="24"/>
          <w:szCs w:val="24"/>
        </w:rPr>
      </w:pPr>
    </w:p>
    <w:p w:rsidR="00D2233E" w:rsidRDefault="0025212C" w:rsidP="00D2233E">
      <w:pPr>
        <w:pStyle w:val="ListParagraph"/>
        <w:ind w:left="0"/>
        <w:rPr>
          <w:rFonts w:ascii="Arial" w:hAnsi="Arial" w:cs="Arial"/>
          <w:sz w:val="24"/>
          <w:szCs w:val="24"/>
        </w:rPr>
      </w:pPr>
      <w:r>
        <w:rPr>
          <w:rFonts w:ascii="Arial" w:hAnsi="Arial" w:cs="Arial"/>
          <w:noProof/>
          <w:sz w:val="24"/>
          <w:szCs w:val="24"/>
          <w:lang w:eastAsia="en-GB"/>
        </w:rPr>
        <w:pict>
          <v:shape id="_x0000_s1030" type="#_x0000_t202" style="position:absolute;margin-left:4.85pt;margin-top:7.85pt;width:461.25pt;height:56.25pt;z-index:251662336" strokecolor="#b2a1c7" strokeweight="1pt">
            <v:fill color2="#ccc0d9" focusposition="1" focussize="" focus="100%" type="gradient"/>
            <v:shadow on="t" type="perspective" color="#3f3151" opacity=".5" offset="1pt" offset2="-3pt"/>
            <v:textbox>
              <w:txbxContent>
                <w:p w:rsidR="001B7FDD" w:rsidRDefault="001B7FDD">
                  <w:r>
                    <w:t>Q.6 Do you agree that the rates of £250 per half day and £500 per full day should be payable for court attendance?</w:t>
                  </w:r>
                </w:p>
              </w:txbxContent>
            </v:textbox>
          </v:shape>
        </w:pict>
      </w:r>
    </w:p>
    <w:p w:rsidR="00D2233E" w:rsidRDefault="00D2233E" w:rsidP="00D2233E">
      <w:pPr>
        <w:pStyle w:val="ListParagraph"/>
        <w:ind w:left="0"/>
        <w:rPr>
          <w:rFonts w:ascii="Arial" w:hAnsi="Arial" w:cs="Arial"/>
          <w:sz w:val="24"/>
          <w:szCs w:val="24"/>
        </w:rPr>
      </w:pPr>
    </w:p>
    <w:p w:rsidR="00D2233E" w:rsidRDefault="00D2233E" w:rsidP="00D2233E">
      <w:pPr>
        <w:pStyle w:val="ListParagraph"/>
        <w:ind w:left="0"/>
        <w:rPr>
          <w:rFonts w:ascii="Arial" w:hAnsi="Arial" w:cs="Arial"/>
          <w:sz w:val="24"/>
          <w:szCs w:val="24"/>
        </w:rPr>
      </w:pPr>
    </w:p>
    <w:p w:rsidR="00D2233E" w:rsidRDefault="00D2233E" w:rsidP="00D2233E">
      <w:pPr>
        <w:pStyle w:val="ListParagraph"/>
        <w:ind w:left="0"/>
        <w:rPr>
          <w:rFonts w:ascii="Arial" w:hAnsi="Arial" w:cs="Arial"/>
          <w:sz w:val="24"/>
          <w:szCs w:val="24"/>
        </w:rPr>
      </w:pPr>
    </w:p>
    <w:p w:rsidR="00D2233E" w:rsidRDefault="00D2233E" w:rsidP="00D2233E">
      <w:pPr>
        <w:pStyle w:val="ListParagraph"/>
        <w:ind w:left="0"/>
        <w:rPr>
          <w:rFonts w:ascii="Arial" w:hAnsi="Arial" w:cs="Arial"/>
          <w:sz w:val="24"/>
          <w:szCs w:val="24"/>
        </w:rPr>
      </w:pPr>
    </w:p>
    <w:p w:rsidR="00125B54" w:rsidRPr="001B7FDD" w:rsidRDefault="00737243" w:rsidP="00816048">
      <w:pPr>
        <w:pStyle w:val="Heading1"/>
        <w:rPr>
          <w:rFonts w:ascii="Arial" w:hAnsi="Arial" w:cs="Arial"/>
          <w:sz w:val="28"/>
          <w:szCs w:val="28"/>
        </w:rPr>
      </w:pPr>
      <w:bookmarkStart w:id="9" w:name="_Toc34831781"/>
      <w:r w:rsidRPr="001B7FDD">
        <w:rPr>
          <w:rFonts w:ascii="Arial" w:hAnsi="Arial" w:cs="Arial"/>
          <w:sz w:val="28"/>
          <w:szCs w:val="28"/>
        </w:rPr>
        <w:t>9</w:t>
      </w:r>
      <w:r w:rsidR="00816048" w:rsidRPr="001B7FDD">
        <w:rPr>
          <w:rFonts w:ascii="Arial" w:hAnsi="Arial" w:cs="Arial"/>
          <w:sz w:val="28"/>
          <w:szCs w:val="28"/>
        </w:rPr>
        <w:t>.</w:t>
      </w:r>
      <w:r w:rsidR="00816048" w:rsidRPr="001B7FDD">
        <w:rPr>
          <w:rFonts w:ascii="Arial" w:hAnsi="Arial" w:cs="Arial"/>
          <w:sz w:val="28"/>
          <w:szCs w:val="28"/>
        </w:rPr>
        <w:tab/>
      </w:r>
      <w:r w:rsidR="00125B54" w:rsidRPr="001B7FDD">
        <w:rPr>
          <w:rFonts w:ascii="Arial" w:hAnsi="Arial" w:cs="Arial"/>
          <w:sz w:val="28"/>
          <w:szCs w:val="28"/>
        </w:rPr>
        <w:t>Impact Assessments</w:t>
      </w:r>
      <w:bookmarkEnd w:id="9"/>
    </w:p>
    <w:p w:rsidR="00125B54" w:rsidRPr="00150862" w:rsidRDefault="00737243" w:rsidP="00125B54">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Pr>
          <w:rFonts w:ascii="Arial" w:hAnsi="Arial" w:cs="Arial"/>
          <w:color w:val="000000"/>
          <w:sz w:val="24"/>
          <w:szCs w:val="24"/>
        </w:rPr>
        <w:t>9</w:t>
      </w:r>
      <w:r w:rsidR="00125B54" w:rsidRPr="00150862">
        <w:rPr>
          <w:rFonts w:ascii="Arial" w:hAnsi="Arial" w:cs="Arial"/>
          <w:color w:val="000000"/>
          <w:sz w:val="24"/>
          <w:szCs w:val="24"/>
        </w:rPr>
        <w:t>.1</w:t>
      </w:r>
      <w:r w:rsidR="00125B54" w:rsidRPr="00150862">
        <w:rPr>
          <w:rFonts w:ascii="Arial" w:hAnsi="Arial" w:cs="Arial"/>
          <w:color w:val="000000"/>
          <w:sz w:val="24"/>
          <w:szCs w:val="24"/>
        </w:rPr>
        <w:tab/>
        <w:t>The Department has completed screening exercises for the equality, rural needs, regulatory, human rights, and privacy impact of the proposed amendments.</w:t>
      </w:r>
    </w:p>
    <w:p w:rsidR="00125B54" w:rsidRPr="00150862" w:rsidRDefault="00737243" w:rsidP="00125B54">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Pr>
          <w:rFonts w:ascii="Arial" w:hAnsi="Arial" w:cs="Arial"/>
          <w:color w:val="000000"/>
          <w:sz w:val="24"/>
          <w:szCs w:val="24"/>
        </w:rPr>
        <w:t>9</w:t>
      </w:r>
      <w:r w:rsidR="00125B54" w:rsidRPr="00150862">
        <w:rPr>
          <w:rFonts w:ascii="Arial" w:hAnsi="Arial" w:cs="Arial"/>
          <w:color w:val="000000"/>
          <w:sz w:val="24"/>
          <w:szCs w:val="24"/>
        </w:rPr>
        <w:t>.2</w:t>
      </w:r>
      <w:r w:rsidR="00125B54" w:rsidRPr="00150862">
        <w:rPr>
          <w:rFonts w:ascii="Arial" w:hAnsi="Arial" w:cs="Arial"/>
          <w:color w:val="000000"/>
          <w:sz w:val="24"/>
          <w:szCs w:val="24"/>
        </w:rPr>
        <w:tab/>
        <w:t>The policy has been screened out in respect of each of the</w:t>
      </w:r>
      <w:r w:rsidR="00150862" w:rsidRPr="00150862">
        <w:rPr>
          <w:rFonts w:ascii="Arial" w:hAnsi="Arial" w:cs="Arial"/>
          <w:color w:val="000000"/>
          <w:sz w:val="24"/>
          <w:szCs w:val="24"/>
        </w:rPr>
        <w:t xml:space="preserve"> above</w:t>
      </w:r>
      <w:r w:rsidR="00125B54" w:rsidRPr="00150862">
        <w:rPr>
          <w:rFonts w:ascii="Arial" w:hAnsi="Arial" w:cs="Arial"/>
          <w:color w:val="000000"/>
          <w:sz w:val="24"/>
          <w:szCs w:val="24"/>
        </w:rPr>
        <w:t xml:space="preserve"> impacts.</w:t>
      </w:r>
    </w:p>
    <w:p w:rsidR="00816048" w:rsidRDefault="00737243" w:rsidP="00125B54">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Pr>
          <w:rFonts w:ascii="Arial" w:hAnsi="Arial" w:cs="Arial"/>
          <w:color w:val="000000"/>
          <w:sz w:val="24"/>
          <w:szCs w:val="24"/>
        </w:rPr>
        <w:t>9</w:t>
      </w:r>
      <w:r w:rsidR="00816048" w:rsidRPr="00150862">
        <w:rPr>
          <w:rFonts w:ascii="Arial" w:hAnsi="Arial" w:cs="Arial"/>
          <w:color w:val="000000"/>
          <w:sz w:val="24"/>
          <w:szCs w:val="24"/>
        </w:rPr>
        <w:t>.3</w:t>
      </w:r>
      <w:r w:rsidR="00816048" w:rsidRPr="00150862">
        <w:rPr>
          <w:rFonts w:ascii="Arial" w:hAnsi="Arial" w:cs="Arial"/>
          <w:color w:val="000000"/>
          <w:sz w:val="24"/>
          <w:szCs w:val="24"/>
        </w:rPr>
        <w:tab/>
      </w:r>
      <w:r w:rsidR="00816048" w:rsidRPr="00D1777F">
        <w:rPr>
          <w:rFonts w:ascii="Arial" w:hAnsi="Arial" w:cs="Arial"/>
          <w:color w:val="000000"/>
          <w:sz w:val="24"/>
          <w:szCs w:val="24"/>
        </w:rPr>
        <w:t xml:space="preserve">The Regulatory Impact </w:t>
      </w:r>
      <w:r w:rsidRPr="00D1777F">
        <w:rPr>
          <w:rFonts w:ascii="Arial" w:hAnsi="Arial" w:cs="Arial"/>
          <w:color w:val="000000"/>
          <w:sz w:val="24"/>
          <w:szCs w:val="24"/>
        </w:rPr>
        <w:t>Assessment noted</w:t>
      </w:r>
      <w:r w:rsidR="00816048" w:rsidRPr="00D1777F">
        <w:rPr>
          <w:rFonts w:ascii="Arial" w:hAnsi="Arial" w:cs="Arial"/>
          <w:color w:val="000000"/>
          <w:sz w:val="24"/>
          <w:szCs w:val="24"/>
        </w:rPr>
        <w:t xml:space="preserve"> that</w:t>
      </w:r>
      <w:r w:rsidR="00150862" w:rsidRPr="00D1777F">
        <w:rPr>
          <w:rFonts w:ascii="Arial" w:hAnsi="Arial" w:cs="Arial"/>
          <w:color w:val="000000"/>
          <w:sz w:val="24"/>
          <w:szCs w:val="24"/>
        </w:rPr>
        <w:t>:</w:t>
      </w:r>
    </w:p>
    <w:p w:rsidR="00737243" w:rsidRDefault="00737243" w:rsidP="00737243">
      <w:pPr>
        <w:pStyle w:val="ListParagraph"/>
        <w:numPr>
          <w:ilvl w:val="0"/>
          <w:numId w:val="6"/>
        </w:numPr>
        <w:autoSpaceDE w:val="0"/>
        <w:autoSpaceDN w:val="0"/>
        <w:adjustRightInd w:val="0"/>
        <w:spacing w:before="240" w:after="240" w:line="360" w:lineRule="auto"/>
        <w:contextualSpacing w:val="0"/>
        <w:rPr>
          <w:rFonts w:ascii="Arial" w:hAnsi="Arial" w:cs="Arial"/>
          <w:color w:val="000000"/>
          <w:sz w:val="24"/>
          <w:szCs w:val="24"/>
        </w:rPr>
      </w:pPr>
      <w:r>
        <w:rPr>
          <w:rFonts w:ascii="Arial" w:hAnsi="Arial" w:cs="Arial"/>
          <w:color w:val="000000"/>
          <w:sz w:val="24"/>
          <w:szCs w:val="24"/>
        </w:rPr>
        <w:t>There are currently psychologists and psychiatrists offering their services at this rate, or close hourly rates; and</w:t>
      </w:r>
    </w:p>
    <w:p w:rsidR="00597A09" w:rsidRDefault="00737243" w:rsidP="00597A09">
      <w:pPr>
        <w:pStyle w:val="ListParagraph"/>
        <w:numPr>
          <w:ilvl w:val="0"/>
          <w:numId w:val="6"/>
        </w:numPr>
        <w:autoSpaceDE w:val="0"/>
        <w:autoSpaceDN w:val="0"/>
        <w:adjustRightInd w:val="0"/>
        <w:spacing w:before="240" w:after="240" w:line="360" w:lineRule="auto"/>
        <w:contextualSpacing w:val="0"/>
        <w:rPr>
          <w:rFonts w:ascii="Arial" w:hAnsi="Arial" w:cs="Arial"/>
          <w:color w:val="000000"/>
          <w:sz w:val="24"/>
          <w:szCs w:val="24"/>
        </w:rPr>
      </w:pPr>
      <w:r w:rsidRPr="00597A09">
        <w:rPr>
          <w:rFonts w:ascii="Arial" w:hAnsi="Arial" w:cs="Arial"/>
          <w:color w:val="000000"/>
          <w:sz w:val="24"/>
          <w:szCs w:val="24"/>
        </w:rPr>
        <w:t xml:space="preserve"> </w:t>
      </w:r>
      <w:r w:rsidR="00597A09" w:rsidRPr="00597A09">
        <w:rPr>
          <w:rFonts w:ascii="Arial" w:hAnsi="Arial" w:cs="Arial"/>
          <w:color w:val="000000"/>
          <w:sz w:val="24"/>
          <w:szCs w:val="24"/>
        </w:rPr>
        <w:t>There are others who will be expected to do the work at this hourly rate</w:t>
      </w:r>
      <w:r w:rsidR="00597A09">
        <w:rPr>
          <w:rFonts w:ascii="Arial" w:hAnsi="Arial" w:cs="Arial"/>
          <w:color w:val="000000"/>
          <w:sz w:val="24"/>
          <w:szCs w:val="24"/>
        </w:rPr>
        <w:t xml:space="preserve"> or forego expert work, unless the </w:t>
      </w:r>
      <w:r w:rsidR="00B93137">
        <w:rPr>
          <w:rFonts w:ascii="Arial" w:hAnsi="Arial" w:cs="Arial"/>
          <w:color w:val="000000"/>
          <w:sz w:val="24"/>
          <w:szCs w:val="24"/>
        </w:rPr>
        <w:t>criteria to apply for a higher hourly rate under a prior authority are</w:t>
      </w:r>
      <w:r w:rsidR="00597A09">
        <w:rPr>
          <w:rFonts w:ascii="Arial" w:hAnsi="Arial" w:cs="Arial"/>
          <w:color w:val="000000"/>
          <w:sz w:val="24"/>
          <w:szCs w:val="24"/>
        </w:rPr>
        <w:t xml:space="preserve"> met.</w:t>
      </w:r>
    </w:p>
    <w:p w:rsidR="00125B54" w:rsidRPr="00597A09" w:rsidRDefault="00737243" w:rsidP="00597A09">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sidRPr="00597A09">
        <w:rPr>
          <w:rFonts w:ascii="Arial" w:hAnsi="Arial" w:cs="Arial"/>
          <w:color w:val="000000"/>
          <w:sz w:val="24"/>
          <w:szCs w:val="24"/>
        </w:rPr>
        <w:lastRenderedPageBreak/>
        <w:t>9</w:t>
      </w:r>
      <w:r w:rsidR="00125B54" w:rsidRPr="00597A09">
        <w:rPr>
          <w:rFonts w:ascii="Arial" w:hAnsi="Arial" w:cs="Arial"/>
          <w:color w:val="000000"/>
          <w:sz w:val="24"/>
          <w:szCs w:val="24"/>
        </w:rPr>
        <w:t>.</w:t>
      </w:r>
      <w:r w:rsidRPr="00597A09">
        <w:rPr>
          <w:rFonts w:ascii="Arial" w:hAnsi="Arial" w:cs="Arial"/>
          <w:color w:val="000000"/>
          <w:sz w:val="24"/>
          <w:szCs w:val="24"/>
        </w:rPr>
        <w:t>4</w:t>
      </w:r>
      <w:r w:rsidR="00125B54" w:rsidRPr="00597A09">
        <w:rPr>
          <w:rFonts w:ascii="Arial" w:hAnsi="Arial" w:cs="Arial"/>
          <w:color w:val="000000"/>
          <w:sz w:val="24"/>
          <w:szCs w:val="24"/>
        </w:rPr>
        <w:tab/>
        <w:t>These decisions will be reviewed following the completion of the consultation exercise, taking account of any additional evidence received.  The reports of the screening exercises are appended to the consultation document.</w:t>
      </w:r>
    </w:p>
    <w:p w:rsidR="00125B54" w:rsidRDefault="0025212C" w:rsidP="00D2233E">
      <w:pPr>
        <w:pStyle w:val="ListParagraph"/>
        <w:ind w:left="0"/>
        <w:rPr>
          <w:rFonts w:ascii="Arial" w:hAnsi="Arial" w:cs="Arial"/>
          <w:sz w:val="24"/>
          <w:szCs w:val="24"/>
        </w:rPr>
      </w:pPr>
      <w:r>
        <w:rPr>
          <w:rFonts w:ascii="Arial" w:hAnsi="Arial" w:cs="Arial"/>
          <w:noProof/>
          <w:sz w:val="24"/>
          <w:szCs w:val="24"/>
          <w:lang w:eastAsia="en-GB"/>
        </w:rPr>
        <w:pict>
          <v:shape id="_x0000_s1033" type="#_x0000_t202" style="position:absolute;margin-left:26.6pt;margin-top:9.5pt;width:435.75pt;height:50.25pt;z-index:251664384" fillcolor="white [3201]" strokecolor="#b2a1c7 [1943]" strokeweight="1pt">
            <v:fill color2="#ccc0d9 [1303]" focusposition="1" focussize="" focus="100%" type="gradient"/>
            <v:shadow on="t" type="perspective" color="#3f3151 [1607]" opacity=".5" offset="1pt" offset2="-3pt"/>
            <v:textbox>
              <w:txbxContent>
                <w:p w:rsidR="001B7FDD" w:rsidRDefault="001B7FDD">
                  <w:r>
                    <w:t xml:space="preserve">Q.7  Do you have any comment on the Impact Screenings and the Regulatory Impact Assessment? </w:t>
                  </w:r>
                </w:p>
              </w:txbxContent>
            </v:textbox>
          </v:shape>
        </w:pict>
      </w:r>
    </w:p>
    <w:p w:rsidR="00816048" w:rsidRDefault="00816048" w:rsidP="00D2233E">
      <w:pPr>
        <w:pStyle w:val="ListParagraph"/>
        <w:ind w:left="0"/>
        <w:rPr>
          <w:rFonts w:ascii="Arial" w:hAnsi="Arial" w:cs="Arial"/>
          <w:sz w:val="24"/>
          <w:szCs w:val="24"/>
        </w:rPr>
      </w:pPr>
    </w:p>
    <w:p w:rsidR="00816048" w:rsidRDefault="00816048" w:rsidP="00D2233E">
      <w:pPr>
        <w:pStyle w:val="ListParagraph"/>
        <w:ind w:left="0"/>
        <w:rPr>
          <w:rFonts w:ascii="Arial" w:hAnsi="Arial" w:cs="Arial"/>
          <w:sz w:val="24"/>
          <w:szCs w:val="24"/>
        </w:rPr>
      </w:pPr>
    </w:p>
    <w:p w:rsidR="00150862" w:rsidRDefault="00150862" w:rsidP="00125B54">
      <w:pPr>
        <w:pStyle w:val="Heading1"/>
      </w:pPr>
    </w:p>
    <w:p w:rsidR="00C76625" w:rsidRPr="001B7FDD" w:rsidRDefault="00737243" w:rsidP="00125B54">
      <w:pPr>
        <w:pStyle w:val="Heading1"/>
        <w:rPr>
          <w:rFonts w:ascii="Arial" w:hAnsi="Arial" w:cs="Arial"/>
          <w:sz w:val="28"/>
          <w:szCs w:val="28"/>
        </w:rPr>
      </w:pPr>
      <w:bookmarkStart w:id="10" w:name="_Toc34831782"/>
      <w:r w:rsidRPr="001B7FDD">
        <w:rPr>
          <w:rFonts w:ascii="Arial" w:hAnsi="Arial" w:cs="Arial"/>
          <w:sz w:val="28"/>
          <w:szCs w:val="28"/>
        </w:rPr>
        <w:t>10</w:t>
      </w:r>
      <w:r w:rsidR="00150862" w:rsidRPr="001B7FDD">
        <w:rPr>
          <w:rFonts w:ascii="Arial" w:hAnsi="Arial" w:cs="Arial"/>
          <w:sz w:val="28"/>
          <w:szCs w:val="28"/>
        </w:rPr>
        <w:t>.</w:t>
      </w:r>
      <w:r w:rsidR="00150862" w:rsidRPr="001B7FDD">
        <w:rPr>
          <w:rFonts w:ascii="Arial" w:hAnsi="Arial" w:cs="Arial"/>
          <w:sz w:val="28"/>
          <w:szCs w:val="28"/>
        </w:rPr>
        <w:tab/>
      </w:r>
      <w:r w:rsidR="00C76625" w:rsidRPr="001B7FDD">
        <w:rPr>
          <w:rFonts w:ascii="Arial" w:hAnsi="Arial" w:cs="Arial"/>
          <w:sz w:val="28"/>
          <w:szCs w:val="28"/>
        </w:rPr>
        <w:t>Evaluation</w:t>
      </w:r>
      <w:r w:rsidR="00125B54" w:rsidRPr="001B7FDD">
        <w:rPr>
          <w:rFonts w:ascii="Arial" w:hAnsi="Arial" w:cs="Arial"/>
          <w:sz w:val="28"/>
          <w:szCs w:val="28"/>
        </w:rPr>
        <w:t xml:space="preserve"> of the Pilot</w:t>
      </w:r>
      <w:bookmarkEnd w:id="10"/>
    </w:p>
    <w:p w:rsidR="002C5795" w:rsidRDefault="002C5795" w:rsidP="00C76625">
      <w:pPr>
        <w:rPr>
          <w:rFonts w:ascii="Arial" w:hAnsi="Arial" w:cs="Arial"/>
          <w:b/>
        </w:rPr>
      </w:pPr>
    </w:p>
    <w:p w:rsidR="00C76625" w:rsidRDefault="00737243" w:rsidP="00150862">
      <w:pPr>
        <w:pStyle w:val="ListParagraph"/>
        <w:autoSpaceDE w:val="0"/>
        <w:autoSpaceDN w:val="0"/>
        <w:adjustRightInd w:val="0"/>
        <w:spacing w:before="240" w:after="240" w:line="360" w:lineRule="auto"/>
        <w:ind w:left="1134" w:hanging="774"/>
        <w:contextualSpacing w:val="0"/>
        <w:rPr>
          <w:rFonts w:ascii="Arial" w:hAnsi="Arial" w:cs="Arial"/>
          <w:sz w:val="24"/>
          <w:szCs w:val="24"/>
        </w:rPr>
      </w:pPr>
      <w:r>
        <w:rPr>
          <w:rFonts w:ascii="Arial" w:hAnsi="Arial" w:cs="Arial"/>
          <w:color w:val="000000"/>
          <w:sz w:val="24"/>
          <w:szCs w:val="24"/>
        </w:rPr>
        <w:t>10</w:t>
      </w:r>
      <w:r w:rsidR="00150862" w:rsidRPr="002830D9">
        <w:rPr>
          <w:rFonts w:ascii="Arial" w:hAnsi="Arial" w:cs="Arial"/>
          <w:color w:val="000000"/>
          <w:sz w:val="24"/>
          <w:szCs w:val="24"/>
        </w:rPr>
        <w:t>.1</w:t>
      </w:r>
      <w:r w:rsidR="00150862">
        <w:rPr>
          <w:rFonts w:ascii="Arial" w:hAnsi="Arial" w:cs="Arial"/>
          <w:color w:val="000000"/>
        </w:rPr>
        <w:tab/>
      </w:r>
      <w:r w:rsidR="00C76625" w:rsidRPr="00150862">
        <w:rPr>
          <w:rFonts w:ascii="Arial" w:hAnsi="Arial" w:cs="Arial"/>
          <w:color w:val="000000"/>
        </w:rPr>
        <w:t>There</w:t>
      </w:r>
      <w:r w:rsidR="00C76625">
        <w:rPr>
          <w:rFonts w:ascii="Arial" w:hAnsi="Arial" w:cs="Arial"/>
          <w:sz w:val="24"/>
          <w:szCs w:val="24"/>
        </w:rPr>
        <w:t xml:space="preserve"> will be an outcomes ba</w:t>
      </w:r>
      <w:r w:rsidR="00E76E46">
        <w:rPr>
          <w:rFonts w:ascii="Arial" w:hAnsi="Arial" w:cs="Arial"/>
          <w:sz w:val="24"/>
          <w:szCs w:val="24"/>
        </w:rPr>
        <w:t>sed approach to evaluating the p</w:t>
      </w:r>
      <w:r w:rsidR="00C76625">
        <w:rPr>
          <w:rFonts w:ascii="Arial" w:hAnsi="Arial" w:cs="Arial"/>
          <w:sz w:val="24"/>
          <w:szCs w:val="24"/>
        </w:rPr>
        <w:t>ilot.  The evaluation will include:</w:t>
      </w:r>
    </w:p>
    <w:p w:rsidR="00C76625" w:rsidRDefault="00C76625" w:rsidP="00C76625">
      <w:pPr>
        <w:pStyle w:val="ListParagraph"/>
        <w:numPr>
          <w:ilvl w:val="0"/>
          <w:numId w:val="4"/>
        </w:numPr>
        <w:rPr>
          <w:rFonts w:ascii="Arial" w:hAnsi="Arial" w:cs="Arial"/>
          <w:sz w:val="24"/>
          <w:szCs w:val="24"/>
        </w:rPr>
      </w:pPr>
      <w:r>
        <w:rPr>
          <w:rFonts w:ascii="Arial" w:hAnsi="Arial" w:cs="Arial"/>
          <w:sz w:val="24"/>
          <w:szCs w:val="24"/>
        </w:rPr>
        <w:t>Has the process speeded up access to justice;</w:t>
      </w:r>
    </w:p>
    <w:p w:rsidR="00C76625" w:rsidRDefault="00D1777F" w:rsidP="00C76625">
      <w:pPr>
        <w:pStyle w:val="ListParagraph"/>
        <w:numPr>
          <w:ilvl w:val="0"/>
          <w:numId w:val="4"/>
        </w:numPr>
        <w:rPr>
          <w:rFonts w:ascii="Arial" w:hAnsi="Arial" w:cs="Arial"/>
          <w:sz w:val="24"/>
          <w:szCs w:val="24"/>
        </w:rPr>
      </w:pPr>
      <w:r>
        <w:rPr>
          <w:rFonts w:ascii="Arial" w:hAnsi="Arial" w:cs="Arial"/>
          <w:sz w:val="24"/>
          <w:szCs w:val="24"/>
        </w:rPr>
        <w:t>Has it impacted on the number of experts prepared to do medico-legal reports</w:t>
      </w:r>
      <w:r w:rsidR="00C76625">
        <w:rPr>
          <w:rFonts w:ascii="Arial" w:hAnsi="Arial" w:cs="Arial"/>
          <w:sz w:val="24"/>
          <w:szCs w:val="24"/>
        </w:rPr>
        <w:t>;</w:t>
      </w:r>
    </w:p>
    <w:p w:rsidR="00C76625" w:rsidRDefault="00C76625" w:rsidP="00C76625">
      <w:pPr>
        <w:pStyle w:val="ListParagraph"/>
        <w:numPr>
          <w:ilvl w:val="0"/>
          <w:numId w:val="4"/>
        </w:numPr>
        <w:rPr>
          <w:rFonts w:ascii="Arial" w:hAnsi="Arial" w:cs="Arial"/>
          <w:sz w:val="24"/>
          <w:szCs w:val="24"/>
        </w:rPr>
      </w:pPr>
      <w:r>
        <w:rPr>
          <w:rFonts w:ascii="Arial" w:hAnsi="Arial" w:cs="Arial"/>
          <w:sz w:val="24"/>
          <w:szCs w:val="24"/>
        </w:rPr>
        <w:t>Has the cap on hours been set too low</w:t>
      </w:r>
      <w:r w:rsidR="00D1777F">
        <w:rPr>
          <w:rFonts w:ascii="Arial" w:hAnsi="Arial" w:cs="Arial"/>
          <w:sz w:val="24"/>
          <w:szCs w:val="24"/>
        </w:rPr>
        <w:t xml:space="preserve"> or too high</w:t>
      </w:r>
      <w:r>
        <w:rPr>
          <w:rFonts w:ascii="Arial" w:hAnsi="Arial" w:cs="Arial"/>
          <w:sz w:val="24"/>
          <w:szCs w:val="24"/>
        </w:rPr>
        <w:t>;</w:t>
      </w:r>
    </w:p>
    <w:p w:rsidR="00D1777F" w:rsidRDefault="00C76625" w:rsidP="00C76625">
      <w:pPr>
        <w:pStyle w:val="ListParagraph"/>
        <w:numPr>
          <w:ilvl w:val="0"/>
          <w:numId w:val="4"/>
        </w:numPr>
        <w:rPr>
          <w:rFonts w:ascii="Arial" w:hAnsi="Arial" w:cs="Arial"/>
          <w:sz w:val="24"/>
          <w:szCs w:val="24"/>
        </w:rPr>
      </w:pPr>
      <w:r>
        <w:rPr>
          <w:rFonts w:ascii="Arial" w:hAnsi="Arial" w:cs="Arial"/>
          <w:sz w:val="24"/>
          <w:szCs w:val="24"/>
        </w:rPr>
        <w:t xml:space="preserve">Has it increased the use of experts </w:t>
      </w:r>
      <w:r w:rsidR="00D1777F">
        <w:rPr>
          <w:rFonts w:ascii="Arial" w:hAnsi="Arial" w:cs="Arial"/>
          <w:sz w:val="24"/>
          <w:szCs w:val="24"/>
        </w:rPr>
        <w:t xml:space="preserve">in proceedings </w:t>
      </w:r>
      <w:r>
        <w:rPr>
          <w:rFonts w:ascii="Arial" w:hAnsi="Arial" w:cs="Arial"/>
          <w:sz w:val="24"/>
          <w:szCs w:val="24"/>
        </w:rPr>
        <w:t xml:space="preserve">and if so, has this been advantageous to the courts; </w:t>
      </w:r>
    </w:p>
    <w:p w:rsidR="00C76625" w:rsidRDefault="00D1777F" w:rsidP="00C76625">
      <w:pPr>
        <w:pStyle w:val="ListParagraph"/>
        <w:numPr>
          <w:ilvl w:val="0"/>
          <w:numId w:val="4"/>
        </w:numPr>
        <w:rPr>
          <w:rFonts w:ascii="Arial" w:hAnsi="Arial" w:cs="Arial"/>
          <w:sz w:val="24"/>
          <w:szCs w:val="24"/>
        </w:rPr>
      </w:pPr>
      <w:r>
        <w:rPr>
          <w:rFonts w:ascii="Arial" w:hAnsi="Arial" w:cs="Arial"/>
          <w:sz w:val="24"/>
          <w:szCs w:val="24"/>
        </w:rPr>
        <w:t xml:space="preserve">Has it impacted on the quality of the reports; </w:t>
      </w:r>
      <w:r w:rsidR="00C76625">
        <w:rPr>
          <w:rFonts w:ascii="Arial" w:hAnsi="Arial" w:cs="Arial"/>
          <w:sz w:val="24"/>
          <w:szCs w:val="24"/>
        </w:rPr>
        <w:t>and</w:t>
      </w:r>
    </w:p>
    <w:p w:rsidR="00C76625" w:rsidRDefault="00C76625" w:rsidP="00C76625">
      <w:pPr>
        <w:pStyle w:val="ListParagraph"/>
        <w:numPr>
          <w:ilvl w:val="0"/>
          <w:numId w:val="4"/>
        </w:numPr>
        <w:rPr>
          <w:rFonts w:ascii="Arial" w:hAnsi="Arial" w:cs="Arial"/>
          <w:sz w:val="24"/>
          <w:szCs w:val="24"/>
        </w:rPr>
      </w:pPr>
      <w:r>
        <w:rPr>
          <w:rFonts w:ascii="Arial" w:hAnsi="Arial" w:cs="Arial"/>
          <w:sz w:val="24"/>
          <w:szCs w:val="24"/>
        </w:rPr>
        <w:t xml:space="preserve">What has been the impact of costs to the legal aid fund and </w:t>
      </w:r>
      <w:r w:rsidR="00D2233E">
        <w:rPr>
          <w:rFonts w:ascii="Arial" w:hAnsi="Arial" w:cs="Arial"/>
          <w:sz w:val="24"/>
          <w:szCs w:val="24"/>
        </w:rPr>
        <w:t>has this ensured</w:t>
      </w:r>
      <w:r>
        <w:rPr>
          <w:rFonts w:ascii="Arial" w:hAnsi="Arial" w:cs="Arial"/>
          <w:sz w:val="24"/>
          <w:szCs w:val="24"/>
        </w:rPr>
        <w:t xml:space="preserve"> value for money.</w:t>
      </w:r>
      <w:r>
        <w:rPr>
          <w:rFonts w:ascii="Arial" w:hAnsi="Arial" w:cs="Arial"/>
          <w:sz w:val="24"/>
          <w:szCs w:val="24"/>
        </w:rPr>
        <w:br/>
      </w:r>
    </w:p>
    <w:p w:rsidR="00C76625" w:rsidRPr="00E76E46" w:rsidRDefault="00737243" w:rsidP="00E76E46">
      <w:pPr>
        <w:pStyle w:val="ListParagraph"/>
        <w:autoSpaceDE w:val="0"/>
        <w:autoSpaceDN w:val="0"/>
        <w:adjustRightInd w:val="0"/>
        <w:spacing w:before="240" w:after="240" w:line="360" w:lineRule="auto"/>
        <w:ind w:left="1134" w:hanging="774"/>
        <w:contextualSpacing w:val="0"/>
        <w:rPr>
          <w:rFonts w:ascii="Arial" w:hAnsi="Arial" w:cs="Arial"/>
          <w:sz w:val="24"/>
          <w:szCs w:val="24"/>
        </w:rPr>
      </w:pPr>
      <w:r>
        <w:rPr>
          <w:rFonts w:ascii="Arial" w:hAnsi="Arial" w:cs="Arial"/>
          <w:sz w:val="24"/>
          <w:szCs w:val="24"/>
        </w:rPr>
        <w:t>10</w:t>
      </w:r>
      <w:r w:rsidR="00150862">
        <w:rPr>
          <w:rFonts w:ascii="Arial" w:hAnsi="Arial" w:cs="Arial"/>
          <w:sz w:val="24"/>
          <w:szCs w:val="24"/>
        </w:rPr>
        <w:t>.2</w:t>
      </w:r>
      <w:r w:rsidR="00150862">
        <w:rPr>
          <w:rFonts w:ascii="Arial" w:hAnsi="Arial" w:cs="Arial"/>
          <w:sz w:val="24"/>
          <w:szCs w:val="24"/>
        </w:rPr>
        <w:tab/>
      </w:r>
      <w:r w:rsidR="002C5795">
        <w:rPr>
          <w:rFonts w:ascii="Arial" w:hAnsi="Arial" w:cs="Arial"/>
          <w:sz w:val="24"/>
          <w:szCs w:val="24"/>
        </w:rPr>
        <w:t xml:space="preserve">It is proposed that there will be ongoing evaluation, with formal evaluation and a report produced after a year of the pilot operating.  </w:t>
      </w:r>
      <w:r w:rsidR="00C76625" w:rsidRPr="002C5795">
        <w:rPr>
          <w:rFonts w:ascii="Arial" w:hAnsi="Arial" w:cs="Arial"/>
          <w:sz w:val="24"/>
          <w:szCs w:val="24"/>
        </w:rPr>
        <w:t xml:space="preserve">It will be important to get the input of key stakeholders to evaluate the </w:t>
      </w:r>
      <w:r w:rsidR="00E76E46">
        <w:rPr>
          <w:rFonts w:ascii="Arial" w:hAnsi="Arial" w:cs="Arial"/>
          <w:sz w:val="24"/>
          <w:szCs w:val="24"/>
        </w:rPr>
        <w:t>p</w:t>
      </w:r>
      <w:r w:rsidR="00C76625" w:rsidRPr="002C5795">
        <w:rPr>
          <w:rFonts w:ascii="Arial" w:hAnsi="Arial" w:cs="Arial"/>
          <w:sz w:val="24"/>
          <w:szCs w:val="24"/>
        </w:rPr>
        <w:t>ilot</w:t>
      </w:r>
      <w:r w:rsidR="002C5795" w:rsidRPr="002C5795">
        <w:rPr>
          <w:rFonts w:ascii="Arial" w:hAnsi="Arial" w:cs="Arial"/>
          <w:sz w:val="24"/>
          <w:szCs w:val="24"/>
        </w:rPr>
        <w:t xml:space="preserve"> including</w:t>
      </w:r>
      <w:r w:rsidR="00C76625" w:rsidRPr="002C5795">
        <w:rPr>
          <w:rFonts w:ascii="Arial" w:hAnsi="Arial" w:cs="Arial"/>
          <w:sz w:val="24"/>
          <w:szCs w:val="24"/>
        </w:rPr>
        <w:t xml:space="preserve"> the judiciary, legal profession and psychiatrists and psychologists.</w:t>
      </w:r>
      <w:r w:rsidR="002C5795">
        <w:rPr>
          <w:rFonts w:ascii="Arial" w:hAnsi="Arial" w:cs="Arial"/>
          <w:sz w:val="24"/>
          <w:szCs w:val="24"/>
        </w:rPr>
        <w:t xml:space="preserve">  The evaluation will inform any extension of the General Authority approach to other case types and expert types.</w:t>
      </w:r>
      <w:r w:rsidR="00C76625" w:rsidRPr="002C5795">
        <w:rPr>
          <w:rFonts w:ascii="Arial" w:hAnsi="Arial" w:cs="Arial"/>
          <w:sz w:val="24"/>
          <w:szCs w:val="24"/>
        </w:rPr>
        <w:t xml:space="preserve">  </w:t>
      </w:r>
    </w:p>
    <w:p w:rsidR="00C76625" w:rsidRPr="002302D4" w:rsidRDefault="0025212C" w:rsidP="00C76625">
      <w:pPr>
        <w:rPr>
          <w:rFonts w:ascii="Arial" w:hAnsi="Arial" w:cs="Arial"/>
        </w:rPr>
      </w:pPr>
      <w:r>
        <w:rPr>
          <w:rFonts w:ascii="Arial" w:hAnsi="Arial" w:cs="Arial"/>
          <w:noProof/>
          <w:lang w:eastAsia="en-GB"/>
        </w:rPr>
        <w:pict>
          <v:shape id="_x0000_s1032" type="#_x0000_t202" style="position:absolute;margin-left:19.85pt;margin-top:13.45pt;width:432.75pt;height:63.75pt;z-index:251663360" strokecolor="#b2a1c7" strokeweight="1pt">
            <v:fill color2="#ccc0d9" focusposition="1" focussize="" focus="100%" type="gradient"/>
            <v:shadow on="t" type="perspective" color="#3f3151" opacity=".5" offset="1pt" offset2="-3pt"/>
            <v:textbox>
              <w:txbxContent>
                <w:p w:rsidR="001B7FDD" w:rsidRDefault="001B7FDD">
                  <w:r>
                    <w:t>Q.8 Is this the right approach to evaluation?  Are there other impacts which should be evaluated?</w:t>
                  </w:r>
                </w:p>
              </w:txbxContent>
            </v:textbox>
          </v:shape>
        </w:pict>
      </w:r>
      <w:r w:rsidR="00C76625" w:rsidRPr="002302D4">
        <w:rPr>
          <w:rFonts w:ascii="Arial" w:hAnsi="Arial" w:cs="Arial"/>
        </w:rPr>
        <w:br/>
      </w:r>
    </w:p>
    <w:p w:rsidR="00C76625" w:rsidRPr="00D039F5" w:rsidRDefault="00C76625" w:rsidP="00C76625">
      <w:pPr>
        <w:rPr>
          <w:rFonts w:ascii="Arial" w:hAnsi="Arial" w:cs="Arial"/>
        </w:rPr>
      </w:pPr>
    </w:p>
    <w:p w:rsidR="00C76625" w:rsidRPr="00D039F5" w:rsidRDefault="00C76625" w:rsidP="00C76625">
      <w:pPr>
        <w:rPr>
          <w:rFonts w:ascii="Arial" w:hAnsi="Arial" w:cs="Arial"/>
        </w:rPr>
      </w:pPr>
    </w:p>
    <w:p w:rsidR="00C76625" w:rsidRPr="00D039F5" w:rsidRDefault="00C76625" w:rsidP="00C76625">
      <w:pPr>
        <w:rPr>
          <w:rFonts w:ascii="Arial" w:hAnsi="Arial" w:cs="Arial"/>
        </w:rPr>
      </w:pPr>
    </w:p>
    <w:p w:rsidR="00C76625" w:rsidRPr="00D039F5" w:rsidRDefault="00C76625" w:rsidP="00C76625">
      <w:pPr>
        <w:rPr>
          <w:rFonts w:ascii="Arial" w:hAnsi="Arial" w:cs="Arial"/>
        </w:rPr>
      </w:pPr>
    </w:p>
    <w:p w:rsidR="00C76625" w:rsidRPr="00D039F5" w:rsidRDefault="00C76625" w:rsidP="00C76625">
      <w:pPr>
        <w:rPr>
          <w:rFonts w:ascii="Arial" w:hAnsi="Arial" w:cs="Arial"/>
        </w:rPr>
      </w:pPr>
    </w:p>
    <w:p w:rsidR="00C76625" w:rsidRPr="00D039F5" w:rsidRDefault="00C76625" w:rsidP="00C76625">
      <w:pPr>
        <w:rPr>
          <w:rFonts w:ascii="Arial" w:hAnsi="Arial" w:cs="Arial"/>
        </w:rPr>
      </w:pPr>
    </w:p>
    <w:p w:rsidR="00125B54" w:rsidRPr="001B7FDD" w:rsidRDefault="00D1777F" w:rsidP="00150862">
      <w:pPr>
        <w:pStyle w:val="Heading1"/>
        <w:rPr>
          <w:rFonts w:ascii="Arial" w:hAnsi="Arial" w:cs="Arial"/>
          <w:sz w:val="28"/>
          <w:szCs w:val="28"/>
        </w:rPr>
      </w:pPr>
      <w:r>
        <w:rPr>
          <w:sz w:val="28"/>
          <w:szCs w:val="28"/>
        </w:rPr>
        <w:br w:type="page"/>
      </w:r>
      <w:bookmarkStart w:id="11" w:name="_Toc34831783"/>
      <w:r w:rsidR="00150862" w:rsidRPr="001B7FDD">
        <w:rPr>
          <w:rFonts w:ascii="Arial" w:hAnsi="Arial" w:cs="Arial"/>
          <w:sz w:val="28"/>
          <w:szCs w:val="28"/>
        </w:rPr>
        <w:lastRenderedPageBreak/>
        <w:t>1</w:t>
      </w:r>
      <w:r w:rsidR="00737243" w:rsidRPr="001B7FDD">
        <w:rPr>
          <w:rFonts w:ascii="Arial" w:hAnsi="Arial" w:cs="Arial"/>
          <w:sz w:val="28"/>
          <w:szCs w:val="28"/>
        </w:rPr>
        <w:t>1</w:t>
      </w:r>
      <w:r w:rsidR="00150862" w:rsidRPr="001B7FDD">
        <w:rPr>
          <w:rFonts w:ascii="Arial" w:hAnsi="Arial" w:cs="Arial"/>
          <w:sz w:val="28"/>
          <w:szCs w:val="28"/>
        </w:rPr>
        <w:t>.</w:t>
      </w:r>
      <w:r w:rsidR="00125B54" w:rsidRPr="001B7FDD">
        <w:rPr>
          <w:rFonts w:ascii="Arial" w:hAnsi="Arial" w:cs="Arial"/>
          <w:sz w:val="28"/>
          <w:szCs w:val="28"/>
        </w:rPr>
        <w:tab/>
        <w:t>Responding to the Consultation</w:t>
      </w:r>
      <w:bookmarkEnd w:id="11"/>
    </w:p>
    <w:p w:rsidR="00150862" w:rsidRPr="00150862" w:rsidRDefault="00150862" w:rsidP="00150862"/>
    <w:p w:rsidR="00125B54" w:rsidRPr="00150862" w:rsidRDefault="00150862" w:rsidP="00150862">
      <w:pPr>
        <w:pStyle w:val="ListParagraph"/>
        <w:autoSpaceDE w:val="0"/>
        <w:autoSpaceDN w:val="0"/>
        <w:adjustRightInd w:val="0"/>
        <w:spacing w:before="240" w:after="240" w:line="360" w:lineRule="auto"/>
        <w:ind w:left="1134" w:hanging="774"/>
        <w:contextualSpacing w:val="0"/>
        <w:rPr>
          <w:rFonts w:ascii="Arial" w:hAnsi="Arial" w:cs="Arial"/>
          <w:b/>
          <w:sz w:val="24"/>
          <w:szCs w:val="24"/>
        </w:rPr>
      </w:pPr>
      <w:r w:rsidRPr="0040343E">
        <w:rPr>
          <w:rFonts w:ascii="Arial" w:hAnsi="Arial" w:cs="Arial"/>
          <w:color w:val="000000"/>
          <w:sz w:val="24"/>
          <w:szCs w:val="24"/>
        </w:rPr>
        <w:t>1</w:t>
      </w:r>
      <w:r w:rsidR="00737243">
        <w:rPr>
          <w:rFonts w:ascii="Arial" w:hAnsi="Arial" w:cs="Arial"/>
          <w:color w:val="000000"/>
          <w:sz w:val="24"/>
          <w:szCs w:val="24"/>
        </w:rPr>
        <w:t>1</w:t>
      </w:r>
      <w:r w:rsidR="00125B54" w:rsidRPr="0040343E">
        <w:rPr>
          <w:rFonts w:ascii="Arial" w:hAnsi="Arial" w:cs="Arial"/>
          <w:color w:val="000000"/>
          <w:sz w:val="24"/>
          <w:szCs w:val="24"/>
        </w:rPr>
        <w:t>.1</w:t>
      </w:r>
      <w:r w:rsidR="00125B54">
        <w:rPr>
          <w:rFonts w:ascii="Arial" w:hAnsi="Arial" w:cs="Arial"/>
          <w:color w:val="000000"/>
        </w:rPr>
        <w:tab/>
      </w:r>
      <w:r w:rsidR="00125B54" w:rsidRPr="00150862">
        <w:rPr>
          <w:rFonts w:ascii="Arial" w:hAnsi="Arial" w:cs="Arial"/>
          <w:sz w:val="24"/>
          <w:szCs w:val="24"/>
        </w:rPr>
        <w:t>The</w:t>
      </w:r>
      <w:r w:rsidR="00125B54" w:rsidRPr="00150862">
        <w:rPr>
          <w:rFonts w:ascii="Arial" w:hAnsi="Arial" w:cs="Arial"/>
          <w:color w:val="000000"/>
          <w:sz w:val="24"/>
          <w:szCs w:val="24"/>
        </w:rPr>
        <w:t xml:space="preserve"> DOJ invites views on any issues raised by this consultation document including the accompanying impact screenings.  Please submit your response to this consultation to: </w:t>
      </w:r>
    </w:p>
    <w:p w:rsidR="00125B54" w:rsidRPr="001E0DA5" w:rsidRDefault="00125B54" w:rsidP="00150862">
      <w:pPr>
        <w:autoSpaceDE w:val="0"/>
        <w:autoSpaceDN w:val="0"/>
        <w:adjustRightInd w:val="0"/>
        <w:spacing w:line="360" w:lineRule="auto"/>
        <w:ind w:left="709" w:firstLine="425"/>
        <w:rPr>
          <w:rFonts w:ascii="Arial" w:hAnsi="Arial" w:cs="Arial"/>
          <w:color w:val="000000"/>
        </w:rPr>
      </w:pPr>
      <w:r>
        <w:rPr>
          <w:rFonts w:ascii="Arial" w:hAnsi="Arial" w:cs="Arial"/>
          <w:color w:val="000000"/>
        </w:rPr>
        <w:t>Expert Witness Pilot Consultation</w:t>
      </w:r>
      <w:r w:rsidRPr="001E0DA5">
        <w:rPr>
          <w:rFonts w:ascii="Arial" w:hAnsi="Arial" w:cs="Arial"/>
          <w:color w:val="000000"/>
        </w:rPr>
        <w:t xml:space="preserve"> </w:t>
      </w:r>
    </w:p>
    <w:p w:rsidR="00125B54" w:rsidRPr="001E0DA5" w:rsidRDefault="00125B54" w:rsidP="00150862">
      <w:pPr>
        <w:autoSpaceDE w:val="0"/>
        <w:autoSpaceDN w:val="0"/>
        <w:adjustRightInd w:val="0"/>
        <w:spacing w:line="360" w:lineRule="auto"/>
        <w:ind w:left="709" w:firstLine="425"/>
        <w:rPr>
          <w:rFonts w:ascii="Arial" w:hAnsi="Arial" w:cs="Arial"/>
          <w:color w:val="000000"/>
        </w:rPr>
      </w:pPr>
      <w:r>
        <w:rPr>
          <w:rFonts w:ascii="Arial" w:hAnsi="Arial" w:cs="Arial"/>
          <w:color w:val="000000"/>
        </w:rPr>
        <w:t>Enabling Access to Justice</w:t>
      </w:r>
      <w:r w:rsidRPr="001E0DA5">
        <w:rPr>
          <w:rFonts w:ascii="Arial" w:hAnsi="Arial" w:cs="Arial"/>
          <w:color w:val="000000"/>
        </w:rPr>
        <w:t xml:space="preserve"> Division </w:t>
      </w:r>
    </w:p>
    <w:p w:rsidR="00125B54" w:rsidRPr="001E0DA5" w:rsidRDefault="00125B54" w:rsidP="00150862">
      <w:pPr>
        <w:autoSpaceDE w:val="0"/>
        <w:autoSpaceDN w:val="0"/>
        <w:adjustRightInd w:val="0"/>
        <w:spacing w:line="360" w:lineRule="auto"/>
        <w:ind w:left="709" w:firstLine="425"/>
        <w:rPr>
          <w:rFonts w:ascii="Arial" w:hAnsi="Arial" w:cs="Arial"/>
          <w:color w:val="000000"/>
        </w:rPr>
      </w:pPr>
      <w:r w:rsidRPr="001E0DA5">
        <w:rPr>
          <w:rFonts w:ascii="Arial" w:hAnsi="Arial" w:cs="Arial"/>
          <w:color w:val="000000"/>
        </w:rPr>
        <w:t>D</w:t>
      </w:r>
      <w:r>
        <w:rPr>
          <w:rFonts w:ascii="Arial" w:hAnsi="Arial" w:cs="Arial"/>
          <w:color w:val="000000"/>
        </w:rPr>
        <w:t>epartment</w:t>
      </w:r>
      <w:r w:rsidRPr="001E0DA5">
        <w:rPr>
          <w:rFonts w:ascii="Arial" w:hAnsi="Arial" w:cs="Arial"/>
          <w:color w:val="000000"/>
        </w:rPr>
        <w:t xml:space="preserve"> of Justice </w:t>
      </w:r>
    </w:p>
    <w:p w:rsidR="00125B54" w:rsidRPr="001E0DA5" w:rsidRDefault="00125B54" w:rsidP="00150862">
      <w:pPr>
        <w:autoSpaceDE w:val="0"/>
        <w:autoSpaceDN w:val="0"/>
        <w:adjustRightInd w:val="0"/>
        <w:spacing w:line="360" w:lineRule="auto"/>
        <w:ind w:left="709" w:firstLine="425"/>
        <w:rPr>
          <w:rFonts w:ascii="Arial" w:hAnsi="Arial" w:cs="Arial"/>
          <w:color w:val="000000"/>
        </w:rPr>
      </w:pPr>
      <w:r w:rsidRPr="001E0DA5">
        <w:rPr>
          <w:rFonts w:ascii="Arial" w:hAnsi="Arial" w:cs="Arial"/>
          <w:color w:val="000000"/>
        </w:rPr>
        <w:t xml:space="preserve">Massey House </w:t>
      </w:r>
    </w:p>
    <w:p w:rsidR="00125B54" w:rsidRPr="001E0DA5" w:rsidRDefault="00125B54" w:rsidP="00150862">
      <w:pPr>
        <w:autoSpaceDE w:val="0"/>
        <w:autoSpaceDN w:val="0"/>
        <w:adjustRightInd w:val="0"/>
        <w:spacing w:line="360" w:lineRule="auto"/>
        <w:ind w:left="709" w:firstLine="425"/>
        <w:rPr>
          <w:rFonts w:ascii="Arial" w:hAnsi="Arial" w:cs="Arial"/>
          <w:color w:val="000000"/>
        </w:rPr>
      </w:pPr>
      <w:r w:rsidRPr="001E0DA5">
        <w:rPr>
          <w:rFonts w:ascii="Arial" w:hAnsi="Arial" w:cs="Arial"/>
          <w:color w:val="000000"/>
        </w:rPr>
        <w:t xml:space="preserve">Stormont Estate </w:t>
      </w:r>
    </w:p>
    <w:p w:rsidR="00125B54" w:rsidRPr="001E0DA5" w:rsidRDefault="00125B54" w:rsidP="00150862">
      <w:pPr>
        <w:autoSpaceDE w:val="0"/>
        <w:autoSpaceDN w:val="0"/>
        <w:adjustRightInd w:val="0"/>
        <w:spacing w:line="360" w:lineRule="auto"/>
        <w:ind w:left="709" w:firstLine="425"/>
        <w:rPr>
          <w:rFonts w:ascii="Arial" w:hAnsi="Arial" w:cs="Arial"/>
          <w:color w:val="000000"/>
        </w:rPr>
      </w:pPr>
      <w:r w:rsidRPr="001E0DA5">
        <w:rPr>
          <w:rFonts w:ascii="Arial" w:hAnsi="Arial" w:cs="Arial"/>
          <w:color w:val="000000"/>
        </w:rPr>
        <w:t xml:space="preserve">Belfast </w:t>
      </w:r>
    </w:p>
    <w:p w:rsidR="00125B54" w:rsidRDefault="00125B54" w:rsidP="00150862">
      <w:pPr>
        <w:autoSpaceDE w:val="0"/>
        <w:autoSpaceDN w:val="0"/>
        <w:adjustRightInd w:val="0"/>
        <w:spacing w:line="360" w:lineRule="auto"/>
        <w:ind w:left="709" w:firstLine="425"/>
        <w:rPr>
          <w:rFonts w:ascii="Arial" w:hAnsi="Arial" w:cs="Arial"/>
          <w:color w:val="000000"/>
        </w:rPr>
      </w:pPr>
      <w:r w:rsidRPr="001E0DA5">
        <w:rPr>
          <w:rFonts w:ascii="Arial" w:hAnsi="Arial" w:cs="Arial"/>
          <w:color w:val="000000"/>
        </w:rPr>
        <w:t xml:space="preserve">BT4 3SX </w:t>
      </w:r>
    </w:p>
    <w:p w:rsidR="00125B54" w:rsidRPr="001E0DA5" w:rsidRDefault="00125B54" w:rsidP="00125B54">
      <w:pPr>
        <w:autoSpaceDE w:val="0"/>
        <w:autoSpaceDN w:val="0"/>
        <w:adjustRightInd w:val="0"/>
        <w:spacing w:line="360" w:lineRule="auto"/>
        <w:ind w:firstLine="720"/>
        <w:rPr>
          <w:rFonts w:ascii="Arial" w:hAnsi="Arial" w:cs="Arial"/>
          <w:color w:val="000000"/>
        </w:rPr>
      </w:pPr>
    </w:p>
    <w:p w:rsidR="00150862" w:rsidRPr="00150862" w:rsidRDefault="00125B54" w:rsidP="00150862">
      <w:pPr>
        <w:autoSpaceDE w:val="0"/>
        <w:autoSpaceDN w:val="0"/>
        <w:adjustRightInd w:val="0"/>
        <w:spacing w:line="360" w:lineRule="auto"/>
        <w:ind w:left="709" w:firstLine="425"/>
        <w:rPr>
          <w:rStyle w:val="Hyperlink"/>
          <w:rFonts w:ascii="Arial" w:hAnsi="Arial" w:cs="Arial"/>
        </w:rPr>
      </w:pPr>
      <w:r w:rsidRPr="001E0DA5">
        <w:rPr>
          <w:rFonts w:ascii="Arial" w:hAnsi="Arial" w:cs="Arial"/>
          <w:color w:val="000000"/>
        </w:rPr>
        <w:t>Email</w:t>
      </w:r>
      <w:r w:rsidRPr="00150862">
        <w:rPr>
          <w:rFonts w:ascii="Arial" w:hAnsi="Arial" w:cs="Arial"/>
          <w:color w:val="000000"/>
        </w:rPr>
        <w:t xml:space="preserve">: </w:t>
      </w:r>
      <w:r w:rsidR="00150862">
        <w:rPr>
          <w:rFonts w:ascii="Arial" w:hAnsi="Arial" w:cs="Arial"/>
          <w:color w:val="000000"/>
        </w:rPr>
        <w:fldChar w:fldCharType="begin"/>
      </w:r>
      <w:r w:rsidR="00150862">
        <w:rPr>
          <w:rFonts w:ascii="Arial" w:hAnsi="Arial" w:cs="Arial"/>
          <w:color w:val="000000"/>
        </w:rPr>
        <w:instrText xml:space="preserve"> HYPERLINK "mailto:eajdconsultations@justice-ni.x.gsi.gov.uk" </w:instrText>
      </w:r>
      <w:r w:rsidR="00150862">
        <w:rPr>
          <w:rFonts w:ascii="Arial" w:hAnsi="Arial" w:cs="Arial"/>
          <w:color w:val="000000"/>
        </w:rPr>
        <w:fldChar w:fldCharType="separate"/>
      </w:r>
      <w:r w:rsidR="00150862" w:rsidRPr="00150862">
        <w:rPr>
          <w:rStyle w:val="Hyperlink"/>
          <w:rFonts w:ascii="Arial" w:hAnsi="Arial" w:cs="Arial"/>
        </w:rPr>
        <w:t>eajdconsultations@justice-ni.x.gsi.gov.uk</w:t>
      </w:r>
    </w:p>
    <w:p w:rsidR="00125B54" w:rsidRDefault="00150862" w:rsidP="00150862">
      <w:pPr>
        <w:autoSpaceDE w:val="0"/>
        <w:autoSpaceDN w:val="0"/>
        <w:adjustRightInd w:val="0"/>
        <w:spacing w:line="360" w:lineRule="auto"/>
        <w:ind w:left="709" w:firstLine="425"/>
        <w:rPr>
          <w:rFonts w:ascii="Arial" w:hAnsi="Arial" w:cs="Arial"/>
          <w:color w:val="000000"/>
        </w:rPr>
      </w:pPr>
      <w:r>
        <w:rPr>
          <w:rFonts w:ascii="Arial" w:hAnsi="Arial" w:cs="Arial"/>
          <w:color w:val="000000"/>
        </w:rPr>
        <w:fldChar w:fldCharType="end"/>
      </w:r>
      <w:r w:rsidR="00125B54" w:rsidRPr="001E0DA5">
        <w:rPr>
          <w:rFonts w:ascii="Arial" w:hAnsi="Arial" w:cs="Arial"/>
          <w:color w:val="000000"/>
        </w:rPr>
        <w:t>Tel: 028 9016 95</w:t>
      </w:r>
      <w:r w:rsidR="00125B54">
        <w:rPr>
          <w:rFonts w:ascii="Arial" w:hAnsi="Arial" w:cs="Arial"/>
          <w:color w:val="000000"/>
        </w:rPr>
        <w:t>26</w:t>
      </w:r>
    </w:p>
    <w:p w:rsidR="00125B54" w:rsidRPr="001E0DA5" w:rsidRDefault="00125B54" w:rsidP="00150862">
      <w:pPr>
        <w:autoSpaceDE w:val="0"/>
        <w:autoSpaceDN w:val="0"/>
        <w:adjustRightInd w:val="0"/>
        <w:spacing w:line="360" w:lineRule="auto"/>
        <w:ind w:left="709" w:firstLine="425"/>
        <w:rPr>
          <w:rFonts w:ascii="Arial" w:hAnsi="Arial" w:cs="Arial"/>
          <w:color w:val="000000"/>
        </w:rPr>
      </w:pPr>
      <w:r w:rsidRPr="001E0DA5">
        <w:rPr>
          <w:rFonts w:ascii="Arial" w:hAnsi="Arial" w:cs="Arial"/>
          <w:color w:val="000000"/>
        </w:rPr>
        <w:t xml:space="preserve">Text phone: 028 9052 7668 </w:t>
      </w:r>
    </w:p>
    <w:p w:rsidR="00125B54" w:rsidRDefault="0040343E" w:rsidP="0040343E">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sidRPr="0040343E">
        <w:rPr>
          <w:rFonts w:ascii="Arial" w:hAnsi="Arial" w:cs="Arial"/>
          <w:color w:val="000000"/>
          <w:sz w:val="24"/>
          <w:szCs w:val="24"/>
        </w:rPr>
        <w:t>1</w:t>
      </w:r>
      <w:r w:rsidR="00737243">
        <w:rPr>
          <w:rFonts w:ascii="Arial" w:hAnsi="Arial" w:cs="Arial"/>
          <w:color w:val="000000"/>
          <w:sz w:val="24"/>
          <w:szCs w:val="24"/>
        </w:rPr>
        <w:t>1</w:t>
      </w:r>
      <w:r w:rsidRPr="0040343E">
        <w:rPr>
          <w:rFonts w:ascii="Arial" w:hAnsi="Arial" w:cs="Arial"/>
          <w:color w:val="000000"/>
          <w:sz w:val="24"/>
          <w:szCs w:val="24"/>
        </w:rPr>
        <w:t>.2</w:t>
      </w:r>
      <w:r>
        <w:rPr>
          <w:rFonts w:ascii="Arial" w:hAnsi="Arial" w:cs="Arial"/>
          <w:color w:val="000000"/>
        </w:rPr>
        <w:tab/>
      </w:r>
      <w:r w:rsidR="00125B54" w:rsidRPr="0040343E">
        <w:rPr>
          <w:rFonts w:ascii="Arial" w:hAnsi="Arial" w:cs="Arial"/>
          <w:sz w:val="24"/>
          <w:szCs w:val="24"/>
        </w:rPr>
        <w:t>Responses</w:t>
      </w:r>
      <w:r w:rsidR="00125B54" w:rsidRPr="0040343E">
        <w:rPr>
          <w:rFonts w:ascii="Arial" w:hAnsi="Arial" w:cs="Arial"/>
          <w:color w:val="000000"/>
          <w:sz w:val="24"/>
          <w:szCs w:val="24"/>
        </w:rPr>
        <w:t xml:space="preserve"> must be received by </w:t>
      </w:r>
      <w:r w:rsidR="00125B54" w:rsidRPr="0040343E">
        <w:rPr>
          <w:rFonts w:ascii="Arial" w:hAnsi="Arial" w:cs="Arial"/>
          <w:b/>
          <w:bCs/>
          <w:sz w:val="24"/>
          <w:szCs w:val="24"/>
        </w:rPr>
        <w:t>2pm</w:t>
      </w:r>
      <w:r w:rsidR="00125B54" w:rsidRPr="007B14BE">
        <w:rPr>
          <w:rFonts w:ascii="Arial" w:hAnsi="Arial" w:cs="Arial"/>
          <w:b/>
          <w:bCs/>
          <w:sz w:val="24"/>
          <w:szCs w:val="24"/>
        </w:rPr>
        <w:t xml:space="preserve">, </w:t>
      </w:r>
      <w:r w:rsidR="007B14BE">
        <w:rPr>
          <w:rFonts w:ascii="Arial" w:hAnsi="Arial" w:cs="Arial"/>
          <w:b/>
          <w:bCs/>
          <w:sz w:val="24"/>
          <w:szCs w:val="24"/>
        </w:rPr>
        <w:t>8 May</w:t>
      </w:r>
      <w:r w:rsidRPr="0040343E">
        <w:rPr>
          <w:rFonts w:ascii="Arial" w:hAnsi="Arial" w:cs="Arial"/>
          <w:b/>
          <w:bCs/>
          <w:sz w:val="24"/>
          <w:szCs w:val="24"/>
        </w:rPr>
        <w:t xml:space="preserve"> </w:t>
      </w:r>
      <w:r w:rsidR="00125B54" w:rsidRPr="0040343E">
        <w:rPr>
          <w:rFonts w:ascii="Arial" w:hAnsi="Arial" w:cs="Arial"/>
          <w:b/>
          <w:bCs/>
          <w:sz w:val="24"/>
          <w:szCs w:val="24"/>
        </w:rPr>
        <w:t>20</w:t>
      </w:r>
      <w:r w:rsidR="00D1777F">
        <w:rPr>
          <w:rFonts w:ascii="Arial" w:hAnsi="Arial" w:cs="Arial"/>
          <w:b/>
          <w:bCs/>
          <w:sz w:val="24"/>
          <w:szCs w:val="24"/>
        </w:rPr>
        <w:t>20</w:t>
      </w:r>
      <w:r w:rsidR="00125B54" w:rsidRPr="0040343E">
        <w:rPr>
          <w:rFonts w:ascii="Arial" w:hAnsi="Arial" w:cs="Arial"/>
          <w:color w:val="000000"/>
          <w:sz w:val="24"/>
          <w:szCs w:val="24"/>
        </w:rPr>
        <w:t xml:space="preserve">. </w:t>
      </w:r>
    </w:p>
    <w:p w:rsidR="006C7076" w:rsidRPr="006C7076" w:rsidRDefault="006C7076" w:rsidP="006C7076">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Pr>
          <w:rFonts w:ascii="Arial" w:hAnsi="Arial" w:cs="Arial"/>
          <w:color w:val="000000"/>
        </w:rPr>
        <w:t>11.3</w:t>
      </w:r>
      <w:r>
        <w:rPr>
          <w:rFonts w:ascii="Arial" w:hAnsi="Arial" w:cs="Arial"/>
          <w:color w:val="000000"/>
        </w:rPr>
        <w:tab/>
      </w:r>
      <w:r w:rsidRPr="006C7076">
        <w:rPr>
          <w:rFonts w:ascii="Arial" w:hAnsi="Arial" w:cs="Arial"/>
          <w:color w:val="000000"/>
          <w:sz w:val="24"/>
          <w:szCs w:val="24"/>
        </w:rPr>
        <w:t>When responding it would be very useful if you could confirm whether you are replying as an individual or submitting an official response on behalf of an organisation.</w:t>
      </w:r>
    </w:p>
    <w:p w:rsidR="006C7076" w:rsidRPr="006C7076" w:rsidRDefault="006C7076" w:rsidP="006C7076">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Pr>
          <w:rFonts w:ascii="Arial" w:hAnsi="Arial" w:cs="Arial"/>
          <w:color w:val="000000"/>
        </w:rPr>
        <w:t>11.4</w:t>
      </w:r>
      <w:r>
        <w:rPr>
          <w:rFonts w:ascii="Arial" w:hAnsi="Arial" w:cs="Arial"/>
          <w:color w:val="000000"/>
        </w:rPr>
        <w:tab/>
      </w:r>
      <w:r w:rsidRPr="006C7076">
        <w:rPr>
          <w:rFonts w:ascii="Arial" w:hAnsi="Arial" w:cs="Arial"/>
          <w:color w:val="000000"/>
          <w:sz w:val="24"/>
          <w:szCs w:val="24"/>
        </w:rPr>
        <w:t>If responding on behalf of an organisation please include:</w:t>
      </w:r>
    </w:p>
    <w:p w:rsidR="006C7076" w:rsidRDefault="006C7076" w:rsidP="006C7076">
      <w:pPr>
        <w:numPr>
          <w:ilvl w:val="0"/>
          <w:numId w:val="7"/>
        </w:numPr>
        <w:autoSpaceDE w:val="0"/>
        <w:autoSpaceDN w:val="0"/>
        <w:adjustRightInd w:val="0"/>
        <w:spacing w:line="360" w:lineRule="auto"/>
        <w:ind w:right="29"/>
        <w:jc w:val="both"/>
        <w:rPr>
          <w:rFonts w:ascii="Arial" w:hAnsi="Arial" w:cs="Arial"/>
          <w:color w:val="000000"/>
        </w:rPr>
      </w:pPr>
      <w:r>
        <w:rPr>
          <w:rFonts w:ascii="Arial" w:hAnsi="Arial" w:cs="Arial"/>
          <w:color w:val="000000"/>
        </w:rPr>
        <w:t>Your name;</w:t>
      </w:r>
    </w:p>
    <w:p w:rsidR="006C7076" w:rsidRDefault="006C7076" w:rsidP="006C7076">
      <w:pPr>
        <w:numPr>
          <w:ilvl w:val="0"/>
          <w:numId w:val="7"/>
        </w:numPr>
        <w:autoSpaceDE w:val="0"/>
        <w:autoSpaceDN w:val="0"/>
        <w:adjustRightInd w:val="0"/>
        <w:spacing w:line="360" w:lineRule="auto"/>
        <w:ind w:right="29"/>
        <w:jc w:val="both"/>
        <w:rPr>
          <w:rFonts w:ascii="Arial" w:hAnsi="Arial" w:cs="Arial"/>
          <w:color w:val="000000"/>
        </w:rPr>
      </w:pPr>
      <w:r>
        <w:rPr>
          <w:rFonts w:ascii="Arial" w:hAnsi="Arial" w:cs="Arial"/>
          <w:color w:val="000000"/>
        </w:rPr>
        <w:t>Your position (if applicable);</w:t>
      </w:r>
    </w:p>
    <w:p w:rsidR="006C7076" w:rsidRDefault="006C7076" w:rsidP="006C7076">
      <w:pPr>
        <w:numPr>
          <w:ilvl w:val="0"/>
          <w:numId w:val="7"/>
        </w:numPr>
        <w:autoSpaceDE w:val="0"/>
        <w:autoSpaceDN w:val="0"/>
        <w:adjustRightInd w:val="0"/>
        <w:spacing w:line="360" w:lineRule="auto"/>
        <w:ind w:right="29"/>
        <w:jc w:val="both"/>
        <w:rPr>
          <w:rFonts w:ascii="Arial" w:hAnsi="Arial" w:cs="Arial"/>
          <w:color w:val="000000"/>
        </w:rPr>
      </w:pPr>
      <w:r>
        <w:rPr>
          <w:rFonts w:ascii="Arial" w:hAnsi="Arial" w:cs="Arial"/>
          <w:color w:val="000000"/>
        </w:rPr>
        <w:t>The name of your organisation;</w:t>
      </w:r>
    </w:p>
    <w:p w:rsidR="006C7076" w:rsidRDefault="006C7076" w:rsidP="006C7076">
      <w:pPr>
        <w:numPr>
          <w:ilvl w:val="0"/>
          <w:numId w:val="7"/>
        </w:numPr>
        <w:autoSpaceDE w:val="0"/>
        <w:autoSpaceDN w:val="0"/>
        <w:adjustRightInd w:val="0"/>
        <w:spacing w:line="360" w:lineRule="auto"/>
        <w:ind w:right="29"/>
        <w:jc w:val="both"/>
        <w:rPr>
          <w:rFonts w:ascii="Arial" w:hAnsi="Arial" w:cs="Arial"/>
          <w:color w:val="000000"/>
        </w:rPr>
      </w:pPr>
      <w:r>
        <w:rPr>
          <w:rFonts w:ascii="Arial" w:hAnsi="Arial" w:cs="Arial"/>
          <w:color w:val="000000"/>
        </w:rPr>
        <w:t>An address (including postcode);</w:t>
      </w:r>
    </w:p>
    <w:p w:rsidR="006C7076" w:rsidRDefault="006C7076" w:rsidP="006C7076">
      <w:pPr>
        <w:numPr>
          <w:ilvl w:val="0"/>
          <w:numId w:val="7"/>
        </w:numPr>
        <w:autoSpaceDE w:val="0"/>
        <w:autoSpaceDN w:val="0"/>
        <w:adjustRightInd w:val="0"/>
        <w:spacing w:line="360" w:lineRule="auto"/>
        <w:ind w:right="29"/>
        <w:jc w:val="both"/>
        <w:rPr>
          <w:rFonts w:ascii="Arial" w:hAnsi="Arial" w:cs="Arial"/>
          <w:color w:val="000000"/>
        </w:rPr>
      </w:pPr>
      <w:r>
        <w:rPr>
          <w:rFonts w:ascii="Arial" w:hAnsi="Arial" w:cs="Arial"/>
          <w:color w:val="000000"/>
        </w:rPr>
        <w:t>An email address.</w:t>
      </w:r>
    </w:p>
    <w:p w:rsidR="006C7076" w:rsidRDefault="006C7076" w:rsidP="006C7076">
      <w:pPr>
        <w:autoSpaceDE w:val="0"/>
        <w:autoSpaceDN w:val="0"/>
        <w:adjustRightInd w:val="0"/>
        <w:spacing w:line="360" w:lineRule="auto"/>
        <w:ind w:left="720" w:right="29"/>
        <w:jc w:val="both"/>
        <w:rPr>
          <w:rFonts w:ascii="Arial" w:hAnsi="Arial" w:cs="Arial"/>
          <w:color w:val="000000"/>
        </w:rPr>
      </w:pPr>
    </w:p>
    <w:p w:rsidR="006C7076" w:rsidRPr="006C7076" w:rsidRDefault="006C7076" w:rsidP="006C7076">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sidRPr="006C7076">
        <w:rPr>
          <w:rFonts w:ascii="Arial" w:hAnsi="Arial" w:cs="Arial"/>
          <w:color w:val="000000"/>
          <w:sz w:val="24"/>
          <w:szCs w:val="24"/>
        </w:rPr>
        <w:lastRenderedPageBreak/>
        <w:t>11.5 We will consider the responses received and publish an outcome report on the Departmental website.</w:t>
      </w:r>
    </w:p>
    <w:p w:rsidR="006C7076" w:rsidRPr="006C7076" w:rsidRDefault="006C7076" w:rsidP="006C7076">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sidRPr="006C7076">
        <w:rPr>
          <w:rFonts w:ascii="Arial" w:hAnsi="Arial" w:cs="Arial"/>
          <w:color w:val="000000"/>
          <w:sz w:val="24"/>
          <w:szCs w:val="24"/>
        </w:rPr>
        <w:t>11.6</w:t>
      </w:r>
      <w:r w:rsidRPr="006C7076">
        <w:rPr>
          <w:rFonts w:ascii="Arial" w:hAnsi="Arial" w:cs="Arial"/>
          <w:color w:val="000000"/>
          <w:sz w:val="24"/>
          <w:szCs w:val="24"/>
        </w:rPr>
        <w:tab/>
        <w:t>In line with good practice and sustainable development this document has been published electronically.</w:t>
      </w:r>
    </w:p>
    <w:p w:rsidR="006C7076" w:rsidRPr="001B7FDD" w:rsidRDefault="006C7076" w:rsidP="006C7076">
      <w:pPr>
        <w:pStyle w:val="Heading1"/>
        <w:rPr>
          <w:rFonts w:ascii="Arial" w:hAnsi="Arial" w:cs="Arial"/>
          <w:caps/>
          <w:sz w:val="28"/>
          <w:szCs w:val="28"/>
        </w:rPr>
      </w:pPr>
      <w:bookmarkStart w:id="12" w:name="_Toc34831784"/>
      <w:r w:rsidRPr="001B7FDD">
        <w:rPr>
          <w:rFonts w:ascii="Arial" w:hAnsi="Arial" w:cs="Arial"/>
          <w:sz w:val="28"/>
          <w:szCs w:val="28"/>
        </w:rPr>
        <w:t xml:space="preserve">12. </w:t>
      </w:r>
      <w:r w:rsidRPr="001B7FDD">
        <w:rPr>
          <w:rFonts w:ascii="Arial" w:hAnsi="Arial" w:cs="Arial"/>
          <w:sz w:val="28"/>
          <w:szCs w:val="28"/>
        </w:rPr>
        <w:tab/>
        <w:t>Privacy, Confidentiality and Access to Consultation</w:t>
      </w:r>
      <w:r w:rsidRPr="000C1B8F">
        <w:t xml:space="preserve"> </w:t>
      </w:r>
      <w:r w:rsidRPr="001B7FDD">
        <w:rPr>
          <w:rFonts w:ascii="Arial" w:hAnsi="Arial" w:cs="Arial"/>
          <w:sz w:val="28"/>
          <w:szCs w:val="28"/>
        </w:rPr>
        <w:t>Responses</w:t>
      </w:r>
      <w:bookmarkEnd w:id="12"/>
    </w:p>
    <w:p w:rsidR="009D67A7" w:rsidRDefault="009D67A7" w:rsidP="006C7076">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p>
    <w:p w:rsidR="006C7076" w:rsidRPr="00F07BD1" w:rsidRDefault="006C7076" w:rsidP="006C7076">
      <w:pPr>
        <w:pStyle w:val="ListParagraph"/>
        <w:autoSpaceDE w:val="0"/>
        <w:autoSpaceDN w:val="0"/>
        <w:adjustRightInd w:val="0"/>
        <w:spacing w:before="240" w:after="240" w:line="360" w:lineRule="auto"/>
        <w:ind w:left="1134" w:hanging="774"/>
        <w:contextualSpacing w:val="0"/>
        <w:rPr>
          <w:rFonts w:ascii="Arial" w:hAnsi="Arial" w:cs="Arial"/>
          <w:sz w:val="24"/>
          <w:szCs w:val="24"/>
        </w:rPr>
      </w:pPr>
      <w:r w:rsidRPr="006C7076">
        <w:rPr>
          <w:rFonts w:ascii="Arial" w:hAnsi="Arial" w:cs="Arial"/>
          <w:color w:val="000000"/>
          <w:sz w:val="24"/>
          <w:szCs w:val="24"/>
        </w:rPr>
        <w:t>12</w:t>
      </w:r>
      <w:r>
        <w:rPr>
          <w:rFonts w:ascii="Arial" w:hAnsi="Arial" w:cs="Arial"/>
        </w:rPr>
        <w:t>.1</w:t>
      </w:r>
      <w:r>
        <w:rPr>
          <w:rFonts w:ascii="Arial" w:hAnsi="Arial" w:cs="Arial"/>
        </w:rPr>
        <w:tab/>
      </w:r>
      <w:r w:rsidRPr="00F07BD1">
        <w:rPr>
          <w:rFonts w:ascii="Arial" w:hAnsi="Arial" w:cs="Arial"/>
          <w:sz w:val="24"/>
          <w:szCs w:val="24"/>
        </w:rPr>
        <w:t>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w:t>
      </w:r>
      <w:r w:rsidRPr="00F07BD1">
        <w:rPr>
          <w:rStyle w:val="FootnoteReference"/>
          <w:rFonts w:ascii="Arial" w:hAnsi="Arial" w:cs="Arial"/>
          <w:sz w:val="24"/>
          <w:szCs w:val="24"/>
        </w:rPr>
        <w:footnoteReference w:customMarkFollows="1" w:id="1"/>
        <w:t>[1]</w:t>
      </w:r>
      <w:r w:rsidRPr="00F07BD1">
        <w:rPr>
          <w:rFonts w:ascii="Arial" w:hAnsi="Arial" w:cs="Arial"/>
          <w:sz w:val="24"/>
          <w:szCs w:val="24"/>
        </w:rPr>
        <w:t xml:space="preserve">. </w:t>
      </w:r>
    </w:p>
    <w:p w:rsidR="006C7076" w:rsidRPr="00F07BD1" w:rsidRDefault="006C7076" w:rsidP="001B7FDD">
      <w:pPr>
        <w:pStyle w:val="ListParagraph"/>
        <w:autoSpaceDE w:val="0"/>
        <w:autoSpaceDN w:val="0"/>
        <w:adjustRightInd w:val="0"/>
        <w:spacing w:before="240" w:after="240" w:line="360" w:lineRule="auto"/>
        <w:ind w:left="1134" w:hanging="774"/>
        <w:contextualSpacing w:val="0"/>
        <w:rPr>
          <w:rFonts w:ascii="Arial" w:hAnsi="Arial" w:cs="Arial"/>
        </w:rPr>
      </w:pPr>
      <w:r w:rsidRPr="00F07BD1">
        <w:rPr>
          <w:rFonts w:ascii="Arial" w:hAnsi="Arial" w:cs="Arial"/>
          <w:sz w:val="24"/>
          <w:szCs w:val="24"/>
        </w:rPr>
        <w:t>12.2</w:t>
      </w:r>
      <w:r w:rsidRPr="00F07BD1">
        <w:rPr>
          <w:rFonts w:ascii="Arial" w:hAnsi="Arial" w:cs="Arial"/>
          <w:sz w:val="24"/>
          <w:szCs w:val="24"/>
        </w:rPr>
        <w:tab/>
        <w:t xml:space="preserve">Your response, and all other responses to this consultation, may also be disclosed on request in accordance with the Freedom of Information Act 2000 (FOIA); however all disclosures will be in line with the requirements of the Data Protection Act 2018 (DPA) and the General Data Protection Regulation (GDPR) (EU) 2016/679. </w:t>
      </w:r>
    </w:p>
    <w:p w:rsidR="006C7076" w:rsidRPr="00F07BD1" w:rsidRDefault="006C7076" w:rsidP="006C7076">
      <w:pPr>
        <w:pStyle w:val="ListParagraph"/>
        <w:autoSpaceDE w:val="0"/>
        <w:autoSpaceDN w:val="0"/>
        <w:adjustRightInd w:val="0"/>
        <w:spacing w:before="240" w:after="240" w:line="360" w:lineRule="auto"/>
        <w:ind w:left="1134" w:hanging="774"/>
        <w:contextualSpacing w:val="0"/>
        <w:rPr>
          <w:sz w:val="24"/>
          <w:szCs w:val="24"/>
        </w:rPr>
      </w:pPr>
      <w:r w:rsidRPr="00F07BD1">
        <w:rPr>
          <w:rFonts w:ascii="Arial" w:hAnsi="Arial" w:cs="Arial"/>
          <w:sz w:val="24"/>
          <w:szCs w:val="24"/>
        </w:rPr>
        <w:t>12.3</w:t>
      </w:r>
      <w:r w:rsidRPr="00F07BD1">
        <w:rPr>
          <w:rFonts w:ascii="Arial" w:hAnsi="Arial" w:cs="Arial"/>
          <w:sz w:val="24"/>
          <w:szCs w:val="24"/>
        </w:rPr>
        <w:tab/>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w:t>
      </w:r>
      <w:r w:rsidR="00F07BD1">
        <w:rPr>
          <w:rFonts w:ascii="Arial" w:hAnsi="Arial" w:cs="Arial"/>
          <w:sz w:val="24"/>
          <w:szCs w:val="24"/>
        </w:rPr>
        <w:t>.</w:t>
      </w:r>
      <w:r w:rsidRPr="00F07BD1">
        <w:rPr>
          <w:rFonts w:ascii="Arial" w:hAnsi="Arial" w:cs="Arial"/>
          <w:sz w:val="24"/>
          <w:szCs w:val="24"/>
        </w:rPr>
        <w:t xml:space="preserve"> </w:t>
      </w:r>
    </w:p>
    <w:p w:rsidR="00125B54" w:rsidRPr="001B7FDD" w:rsidRDefault="0040343E" w:rsidP="0040343E">
      <w:pPr>
        <w:pStyle w:val="Heading1"/>
        <w:rPr>
          <w:rFonts w:ascii="Arial" w:hAnsi="Arial" w:cs="Arial"/>
          <w:sz w:val="28"/>
          <w:szCs w:val="28"/>
        </w:rPr>
      </w:pPr>
      <w:bookmarkStart w:id="13" w:name="_Toc34831785"/>
      <w:r w:rsidRPr="001B7FDD">
        <w:rPr>
          <w:rFonts w:ascii="Arial" w:hAnsi="Arial" w:cs="Arial"/>
          <w:sz w:val="28"/>
          <w:szCs w:val="28"/>
        </w:rPr>
        <w:t>1</w:t>
      </w:r>
      <w:r w:rsidR="006C7076" w:rsidRPr="001B7FDD">
        <w:rPr>
          <w:rFonts w:ascii="Arial" w:hAnsi="Arial" w:cs="Arial"/>
          <w:sz w:val="28"/>
          <w:szCs w:val="28"/>
        </w:rPr>
        <w:t>3</w:t>
      </w:r>
      <w:r w:rsidR="00125B54" w:rsidRPr="001B7FDD">
        <w:rPr>
          <w:rFonts w:ascii="Arial" w:hAnsi="Arial" w:cs="Arial"/>
          <w:sz w:val="28"/>
          <w:szCs w:val="28"/>
        </w:rPr>
        <w:t>.</w:t>
      </w:r>
      <w:r w:rsidR="00125B54" w:rsidRPr="001B7FDD">
        <w:rPr>
          <w:rFonts w:ascii="Arial" w:hAnsi="Arial" w:cs="Arial"/>
          <w:sz w:val="28"/>
          <w:szCs w:val="28"/>
        </w:rPr>
        <w:tab/>
        <w:t>Next Steps</w:t>
      </w:r>
      <w:bookmarkEnd w:id="13"/>
    </w:p>
    <w:p w:rsidR="00125B54" w:rsidRPr="0040343E" w:rsidRDefault="0040343E" w:rsidP="0040343E">
      <w:pPr>
        <w:pStyle w:val="ListParagraph"/>
        <w:autoSpaceDE w:val="0"/>
        <w:autoSpaceDN w:val="0"/>
        <w:adjustRightInd w:val="0"/>
        <w:spacing w:before="240" w:after="240" w:line="360" w:lineRule="auto"/>
        <w:ind w:left="1134" w:hanging="774"/>
        <w:contextualSpacing w:val="0"/>
        <w:rPr>
          <w:rFonts w:ascii="Arial" w:hAnsi="Arial" w:cs="Arial"/>
          <w:color w:val="000000"/>
          <w:sz w:val="24"/>
          <w:szCs w:val="24"/>
        </w:rPr>
      </w:pPr>
      <w:r>
        <w:rPr>
          <w:rFonts w:ascii="Arial" w:hAnsi="Arial" w:cs="Arial"/>
          <w:color w:val="000000"/>
          <w:sz w:val="24"/>
          <w:szCs w:val="24"/>
        </w:rPr>
        <w:t>1</w:t>
      </w:r>
      <w:r w:rsidR="006C7076">
        <w:rPr>
          <w:rFonts w:ascii="Arial" w:hAnsi="Arial" w:cs="Arial"/>
          <w:color w:val="000000"/>
          <w:sz w:val="24"/>
          <w:szCs w:val="24"/>
        </w:rPr>
        <w:t>3</w:t>
      </w:r>
      <w:r w:rsidR="00125B54" w:rsidRPr="0040343E">
        <w:rPr>
          <w:rFonts w:ascii="Arial" w:hAnsi="Arial" w:cs="Arial"/>
          <w:color w:val="000000"/>
          <w:sz w:val="24"/>
          <w:szCs w:val="24"/>
        </w:rPr>
        <w:t>.1</w:t>
      </w:r>
      <w:r w:rsidR="00125B54" w:rsidRPr="0040343E">
        <w:rPr>
          <w:rFonts w:ascii="Arial" w:hAnsi="Arial" w:cs="Arial"/>
          <w:color w:val="000000"/>
          <w:sz w:val="24"/>
          <w:szCs w:val="24"/>
        </w:rPr>
        <w:tab/>
      </w:r>
      <w:r w:rsidR="00125B54" w:rsidRPr="0040343E">
        <w:rPr>
          <w:rFonts w:ascii="Arial" w:hAnsi="Arial" w:cs="Arial"/>
          <w:sz w:val="24"/>
          <w:szCs w:val="24"/>
        </w:rPr>
        <w:t>Following</w:t>
      </w:r>
      <w:r w:rsidR="00125B54" w:rsidRPr="0040343E">
        <w:rPr>
          <w:rFonts w:ascii="Arial" w:hAnsi="Arial" w:cs="Arial"/>
          <w:color w:val="000000"/>
          <w:sz w:val="24"/>
          <w:szCs w:val="24"/>
        </w:rPr>
        <w:t xml:space="preserve"> the consultation exercise, </w:t>
      </w:r>
      <w:r>
        <w:rPr>
          <w:rFonts w:ascii="Arial" w:hAnsi="Arial" w:cs="Arial"/>
          <w:color w:val="000000"/>
          <w:sz w:val="24"/>
          <w:szCs w:val="24"/>
        </w:rPr>
        <w:t xml:space="preserve">a Post Consultation Report will issue and </w:t>
      </w:r>
      <w:r w:rsidR="00125B54" w:rsidRPr="0040343E">
        <w:rPr>
          <w:rFonts w:ascii="Arial" w:hAnsi="Arial" w:cs="Arial"/>
          <w:color w:val="000000"/>
          <w:sz w:val="24"/>
          <w:szCs w:val="24"/>
        </w:rPr>
        <w:t>the draft proposals will be finalised and taken forward as appropriate.</w:t>
      </w:r>
    </w:p>
    <w:p w:rsidR="00C76625" w:rsidRDefault="00C76625" w:rsidP="00C76625">
      <w:pPr>
        <w:rPr>
          <w:rFonts w:ascii="Arial" w:hAnsi="Arial" w:cs="Arial"/>
          <w:b/>
        </w:rPr>
      </w:pPr>
      <w:r>
        <w:rPr>
          <w:rFonts w:ascii="Arial" w:hAnsi="Arial" w:cs="Arial"/>
          <w:b/>
        </w:rPr>
        <w:br w:type="page"/>
      </w:r>
    </w:p>
    <w:p w:rsidR="00C76625" w:rsidRPr="00C105FC" w:rsidRDefault="00C76625" w:rsidP="00C76625">
      <w:pPr>
        <w:rPr>
          <w:rFonts w:ascii="Arial" w:hAnsi="Arial" w:cs="Arial"/>
          <w:b/>
        </w:rPr>
      </w:pPr>
      <w:r w:rsidRPr="00C105FC">
        <w:rPr>
          <w:rFonts w:ascii="Arial" w:hAnsi="Arial" w:cs="Arial"/>
          <w:b/>
        </w:rPr>
        <w:t>Annex A</w:t>
      </w:r>
    </w:p>
    <w:p w:rsidR="001B7FDD" w:rsidRDefault="001B7FDD" w:rsidP="00C76625">
      <w:pPr>
        <w:rPr>
          <w:rFonts w:ascii="Arial" w:hAnsi="Arial" w:cs="Arial"/>
          <w:b/>
        </w:rPr>
      </w:pPr>
    </w:p>
    <w:p w:rsidR="00C76625" w:rsidRPr="00C105FC" w:rsidRDefault="00C76625" w:rsidP="00C76625">
      <w:pPr>
        <w:rPr>
          <w:rFonts w:ascii="Arial" w:hAnsi="Arial" w:cs="Arial"/>
          <w:b/>
        </w:rPr>
      </w:pPr>
      <w:r w:rsidRPr="00C105FC">
        <w:rPr>
          <w:rFonts w:ascii="Arial" w:hAnsi="Arial" w:cs="Arial"/>
          <w:b/>
        </w:rPr>
        <w:t>Tables from Judicial Statistics 201</w:t>
      </w:r>
      <w:r>
        <w:rPr>
          <w:rFonts w:ascii="Arial" w:hAnsi="Arial" w:cs="Arial"/>
          <w:b/>
        </w:rPr>
        <w:t>8</w:t>
      </w:r>
    </w:p>
    <w:p w:rsidR="00C76625" w:rsidRPr="00D039F5" w:rsidRDefault="00C76625" w:rsidP="00C76625">
      <w:pPr>
        <w:rPr>
          <w:rFonts w:ascii="Arial" w:hAnsi="Arial" w:cs="Arial"/>
        </w:rPr>
      </w:pPr>
      <w:r w:rsidRPr="00D039F5">
        <w:rPr>
          <w:rFonts w:ascii="Arial" w:hAnsi="Arial" w:cs="Arial"/>
        </w:rPr>
        <w:t>Public Law Children Order Applications received and disposed of by venue in 201</w:t>
      </w:r>
      <w:r>
        <w:rPr>
          <w:rFonts w:ascii="Arial" w:hAnsi="Arial" w:cs="Arial"/>
        </w:rPr>
        <w:t>8</w:t>
      </w:r>
    </w:p>
    <w:p w:rsidR="00C76625" w:rsidRPr="00D039F5" w:rsidRDefault="00C76625" w:rsidP="00C76625">
      <w:pPr>
        <w:rPr>
          <w:rFonts w:ascii="Arial" w:hAnsi="Arial" w:cs="Arial"/>
        </w:rPr>
      </w:pPr>
      <w:r w:rsidRPr="00D039F5">
        <w:rPr>
          <w:rFonts w:ascii="Arial" w:hAnsi="Arial" w:cs="Arial"/>
        </w:rPr>
        <w:t>Table 1</w:t>
      </w:r>
    </w:p>
    <w:tbl>
      <w:tblPr>
        <w:tblW w:w="8953" w:type="dxa"/>
        <w:tblInd w:w="93" w:type="dxa"/>
        <w:tblLook w:val="04A0" w:firstRow="1" w:lastRow="0" w:firstColumn="1" w:lastColumn="0" w:noHBand="0" w:noVBand="1"/>
      </w:tblPr>
      <w:tblGrid>
        <w:gridCol w:w="3996"/>
        <w:gridCol w:w="1777"/>
        <w:gridCol w:w="1617"/>
        <w:gridCol w:w="1640"/>
      </w:tblGrid>
      <w:tr w:rsidR="00C76625" w:rsidRPr="008C51F2" w:rsidTr="00C76625">
        <w:trPr>
          <w:trHeight w:val="300"/>
        </w:trPr>
        <w:tc>
          <w:tcPr>
            <w:tcW w:w="5773" w:type="dxa"/>
            <w:gridSpan w:val="2"/>
            <w:tcBorders>
              <w:top w:val="nil"/>
              <w:left w:val="nil"/>
              <w:bottom w:val="nil"/>
              <w:right w:val="nil"/>
            </w:tcBorders>
            <w:shd w:val="clear" w:color="auto" w:fill="auto"/>
            <w:noWrap/>
            <w:vAlign w:val="center"/>
            <w:hideMark/>
          </w:tcPr>
          <w:p w:rsidR="00C76625" w:rsidRPr="008C51F2" w:rsidRDefault="00C76625" w:rsidP="00C76625">
            <w:pPr>
              <w:rPr>
                <w:rFonts w:ascii="Arial" w:hAnsi="Arial" w:cs="Arial"/>
                <w:b/>
                <w:bCs/>
                <w:color w:val="000000"/>
                <w:lang w:eastAsia="en-GB"/>
              </w:rPr>
            </w:pPr>
          </w:p>
        </w:tc>
        <w:tc>
          <w:tcPr>
            <w:tcW w:w="1540" w:type="dxa"/>
            <w:tcBorders>
              <w:top w:val="nil"/>
              <w:left w:val="nil"/>
              <w:bottom w:val="nil"/>
              <w:right w:val="nil"/>
            </w:tcBorders>
            <w:shd w:val="clear" w:color="auto" w:fill="auto"/>
            <w:noWrap/>
            <w:vAlign w:val="bottom"/>
            <w:hideMark/>
          </w:tcPr>
          <w:p w:rsidR="00C76625" w:rsidRPr="008C51F2" w:rsidRDefault="00C76625" w:rsidP="00C76625">
            <w:pPr>
              <w:rPr>
                <w:rFonts w:ascii="Calibri" w:hAnsi="Calibri" w:cs="Calibri"/>
                <w:color w:val="000000"/>
                <w:lang w:eastAsia="en-GB"/>
              </w:rPr>
            </w:pPr>
          </w:p>
        </w:tc>
        <w:tc>
          <w:tcPr>
            <w:tcW w:w="1640" w:type="dxa"/>
            <w:tcBorders>
              <w:top w:val="nil"/>
              <w:left w:val="nil"/>
              <w:bottom w:val="nil"/>
              <w:right w:val="nil"/>
            </w:tcBorders>
            <w:shd w:val="clear" w:color="auto" w:fill="auto"/>
            <w:noWrap/>
            <w:vAlign w:val="bottom"/>
            <w:hideMark/>
          </w:tcPr>
          <w:p w:rsidR="00C76625" w:rsidRPr="008C51F2" w:rsidRDefault="00C76625" w:rsidP="00C76625">
            <w:pPr>
              <w:rPr>
                <w:rFonts w:ascii="Calibri" w:hAnsi="Calibri" w:cs="Calibri"/>
                <w:color w:val="000000"/>
                <w:lang w:eastAsia="en-GB"/>
              </w:rPr>
            </w:pPr>
          </w:p>
        </w:tc>
      </w:tr>
      <w:tr w:rsidR="00C76625" w:rsidRPr="008C51F2" w:rsidTr="00C76625">
        <w:trPr>
          <w:trHeight w:val="300"/>
        </w:trPr>
        <w:tc>
          <w:tcPr>
            <w:tcW w:w="577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76625" w:rsidRPr="008C51F2" w:rsidRDefault="00C76625" w:rsidP="00C76625">
            <w:pPr>
              <w:rPr>
                <w:color w:val="000000"/>
                <w:lang w:eastAsia="en-GB"/>
              </w:rPr>
            </w:pPr>
            <w:r w:rsidRPr="008C51F2">
              <w:rPr>
                <w:color w:val="000000"/>
                <w:lang w:eastAsia="en-GB"/>
              </w:rPr>
              <w:t> </w:t>
            </w:r>
          </w:p>
        </w:tc>
        <w:tc>
          <w:tcPr>
            <w:tcW w:w="3180" w:type="dxa"/>
            <w:gridSpan w:val="2"/>
            <w:tcBorders>
              <w:top w:val="single" w:sz="8" w:space="0" w:color="000000"/>
              <w:left w:val="nil"/>
              <w:bottom w:val="nil"/>
              <w:right w:val="single" w:sz="8" w:space="0" w:color="000000"/>
            </w:tcBorders>
            <w:shd w:val="clear" w:color="000000" w:fill="D3E8FB"/>
            <w:vAlign w:val="center"/>
            <w:hideMark/>
          </w:tcPr>
          <w:p w:rsidR="00C76625" w:rsidRPr="008C51F2" w:rsidRDefault="00C76625" w:rsidP="00C76625">
            <w:pPr>
              <w:rPr>
                <w:color w:val="000000"/>
                <w:sz w:val="12"/>
                <w:szCs w:val="12"/>
                <w:lang w:eastAsia="en-GB"/>
              </w:rPr>
            </w:pPr>
            <w:r w:rsidRPr="008C51F2">
              <w:rPr>
                <w:color w:val="000000"/>
                <w:sz w:val="12"/>
                <w:szCs w:val="12"/>
                <w:lang w:eastAsia="en-GB"/>
              </w:rPr>
              <w:t> </w:t>
            </w:r>
          </w:p>
        </w:tc>
      </w:tr>
      <w:tr w:rsidR="00C76625" w:rsidRPr="008C51F2" w:rsidTr="00C76625">
        <w:trPr>
          <w:trHeight w:val="345"/>
        </w:trPr>
        <w:tc>
          <w:tcPr>
            <w:tcW w:w="5773" w:type="dxa"/>
            <w:gridSpan w:val="2"/>
            <w:vMerge/>
            <w:tcBorders>
              <w:top w:val="single" w:sz="8" w:space="0" w:color="000000"/>
              <w:left w:val="single" w:sz="8" w:space="0" w:color="000000"/>
              <w:bottom w:val="single" w:sz="8" w:space="0" w:color="000000"/>
              <w:right w:val="single" w:sz="8" w:space="0" w:color="000000"/>
            </w:tcBorders>
            <w:vAlign w:val="center"/>
            <w:hideMark/>
          </w:tcPr>
          <w:p w:rsidR="00C76625" w:rsidRPr="008C51F2" w:rsidRDefault="00C76625" w:rsidP="00C76625">
            <w:pPr>
              <w:rPr>
                <w:color w:val="000000"/>
                <w:lang w:eastAsia="en-GB"/>
              </w:rPr>
            </w:pPr>
          </w:p>
        </w:tc>
        <w:tc>
          <w:tcPr>
            <w:tcW w:w="3180" w:type="dxa"/>
            <w:gridSpan w:val="2"/>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ind w:firstLineChars="500" w:firstLine="1205"/>
              <w:rPr>
                <w:rFonts w:ascii="Arial" w:hAnsi="Arial" w:cs="Arial"/>
                <w:b/>
                <w:bCs/>
                <w:color w:val="000000"/>
                <w:lang w:eastAsia="en-GB"/>
              </w:rPr>
            </w:pPr>
            <w:r w:rsidRPr="008C51F2">
              <w:rPr>
                <w:rFonts w:ascii="Arial" w:hAnsi="Arial" w:cs="Arial"/>
                <w:b/>
                <w:bCs/>
                <w:color w:val="000000"/>
                <w:lang w:eastAsia="en-GB"/>
              </w:rPr>
              <w:t>Public Law</w:t>
            </w:r>
            <w:r w:rsidRPr="008C51F2">
              <w:rPr>
                <w:rFonts w:ascii="Arial" w:hAnsi="Arial" w:cs="Arial"/>
                <w:b/>
                <w:bCs/>
                <w:color w:val="000000"/>
                <w:vertAlign w:val="superscript"/>
                <w:lang w:eastAsia="en-GB"/>
              </w:rPr>
              <w:t>[1]</w:t>
            </w:r>
          </w:p>
        </w:tc>
      </w:tr>
      <w:tr w:rsidR="00C76625" w:rsidRPr="008C51F2" w:rsidTr="00C76625">
        <w:trPr>
          <w:trHeight w:val="300"/>
        </w:trPr>
        <w:tc>
          <w:tcPr>
            <w:tcW w:w="5773" w:type="dxa"/>
            <w:gridSpan w:val="2"/>
            <w:vMerge/>
            <w:tcBorders>
              <w:top w:val="single" w:sz="8" w:space="0" w:color="000000"/>
              <w:left w:val="single" w:sz="8" w:space="0" w:color="000000"/>
              <w:bottom w:val="single" w:sz="8" w:space="0" w:color="000000"/>
              <w:right w:val="single" w:sz="8" w:space="0" w:color="000000"/>
            </w:tcBorders>
            <w:vAlign w:val="center"/>
            <w:hideMark/>
          </w:tcPr>
          <w:p w:rsidR="00C76625" w:rsidRPr="008C51F2" w:rsidRDefault="00C76625" w:rsidP="00C76625">
            <w:pPr>
              <w:rPr>
                <w:color w:val="000000"/>
                <w:lang w:eastAsia="en-GB"/>
              </w:rPr>
            </w:pPr>
          </w:p>
        </w:tc>
        <w:tc>
          <w:tcPr>
            <w:tcW w:w="1540" w:type="dxa"/>
            <w:vMerge w:val="restart"/>
            <w:tcBorders>
              <w:top w:val="nil"/>
              <w:left w:val="single" w:sz="8" w:space="0" w:color="000000"/>
              <w:bottom w:val="single" w:sz="8" w:space="0" w:color="000000"/>
              <w:right w:val="single" w:sz="8" w:space="0" w:color="000000"/>
            </w:tcBorders>
            <w:shd w:val="clear" w:color="000000" w:fill="D3E8FB"/>
            <w:vAlign w:val="center"/>
            <w:hideMark/>
          </w:tcPr>
          <w:p w:rsidR="00C76625" w:rsidRPr="008C51F2" w:rsidRDefault="00C76625" w:rsidP="00C76625">
            <w:pPr>
              <w:jc w:val="center"/>
              <w:rPr>
                <w:rFonts w:ascii="Arial" w:hAnsi="Arial" w:cs="Arial"/>
                <w:b/>
                <w:bCs/>
                <w:color w:val="000000"/>
                <w:lang w:eastAsia="en-GB"/>
              </w:rPr>
            </w:pPr>
            <w:r w:rsidRPr="008C51F2">
              <w:rPr>
                <w:rFonts w:ascii="Arial" w:hAnsi="Arial" w:cs="Arial"/>
                <w:b/>
                <w:bCs/>
                <w:color w:val="000000"/>
                <w:lang w:eastAsia="en-GB"/>
              </w:rPr>
              <w:t>Number of applications entered</w:t>
            </w:r>
          </w:p>
        </w:tc>
        <w:tc>
          <w:tcPr>
            <w:tcW w:w="1640" w:type="dxa"/>
            <w:tcBorders>
              <w:top w:val="nil"/>
              <w:left w:val="nil"/>
              <w:bottom w:val="nil"/>
              <w:right w:val="single" w:sz="8" w:space="0" w:color="000000"/>
            </w:tcBorders>
            <w:shd w:val="clear" w:color="000000" w:fill="D3E8FB"/>
            <w:vAlign w:val="center"/>
            <w:hideMark/>
          </w:tcPr>
          <w:p w:rsidR="00C76625" w:rsidRPr="008C51F2" w:rsidRDefault="00C76625" w:rsidP="00C76625">
            <w:pPr>
              <w:rPr>
                <w:color w:val="000000"/>
                <w:sz w:val="16"/>
                <w:szCs w:val="16"/>
                <w:lang w:eastAsia="en-GB"/>
              </w:rPr>
            </w:pPr>
            <w:r w:rsidRPr="008C51F2">
              <w:rPr>
                <w:color w:val="000000"/>
                <w:sz w:val="16"/>
                <w:szCs w:val="16"/>
                <w:lang w:eastAsia="en-GB"/>
              </w:rPr>
              <w:t> </w:t>
            </w:r>
          </w:p>
        </w:tc>
      </w:tr>
      <w:tr w:rsidR="00C76625" w:rsidRPr="008C51F2" w:rsidTr="00C76625">
        <w:trPr>
          <w:trHeight w:val="615"/>
        </w:trPr>
        <w:tc>
          <w:tcPr>
            <w:tcW w:w="5773" w:type="dxa"/>
            <w:gridSpan w:val="2"/>
            <w:vMerge/>
            <w:tcBorders>
              <w:top w:val="single" w:sz="8" w:space="0" w:color="000000"/>
              <w:left w:val="single" w:sz="8" w:space="0" w:color="000000"/>
              <w:bottom w:val="single" w:sz="8" w:space="0" w:color="000000"/>
              <w:right w:val="single" w:sz="8" w:space="0" w:color="000000"/>
            </w:tcBorders>
            <w:vAlign w:val="center"/>
            <w:hideMark/>
          </w:tcPr>
          <w:p w:rsidR="00C76625" w:rsidRPr="008C51F2" w:rsidRDefault="00C76625" w:rsidP="00C76625">
            <w:pPr>
              <w:rPr>
                <w:color w:val="000000"/>
                <w:lang w:eastAsia="en-GB"/>
              </w:rPr>
            </w:pPr>
          </w:p>
        </w:tc>
        <w:tc>
          <w:tcPr>
            <w:tcW w:w="1540"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0"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ind w:firstLineChars="100" w:firstLine="241"/>
              <w:rPr>
                <w:rFonts w:ascii="Arial" w:hAnsi="Arial" w:cs="Arial"/>
                <w:b/>
                <w:bCs/>
                <w:color w:val="000000"/>
                <w:lang w:eastAsia="en-GB"/>
              </w:rPr>
            </w:pPr>
            <w:r w:rsidRPr="008C51F2">
              <w:rPr>
                <w:rFonts w:ascii="Arial" w:hAnsi="Arial" w:cs="Arial"/>
                <w:b/>
                <w:bCs/>
                <w:color w:val="000000"/>
                <w:lang w:eastAsia="en-GB"/>
              </w:rPr>
              <w:t>Number of disposals</w:t>
            </w:r>
          </w:p>
        </w:tc>
      </w:tr>
      <w:tr w:rsidR="00C76625" w:rsidRPr="008C51F2" w:rsidTr="00C76625">
        <w:trPr>
          <w:trHeight w:val="315"/>
        </w:trPr>
        <w:tc>
          <w:tcPr>
            <w:tcW w:w="4126" w:type="dxa"/>
            <w:vMerge w:val="restart"/>
            <w:tcBorders>
              <w:top w:val="nil"/>
              <w:left w:val="single" w:sz="8" w:space="0" w:color="000000"/>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Family Proceedings Court</w:t>
            </w: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Antrim</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Armagh</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Ballymena</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74</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36</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Belfast</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205</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110</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Coleraine</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2</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Craigavon</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70</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36</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Downpatrick</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Dungannon</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8</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Enniskillen</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Limavady</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Lisburn</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23</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14</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Londonderry</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60</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40</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Magherafelt</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Newry</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65</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33</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Newtownards</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112</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66</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Omagh</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60</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70</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Strabane</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Venue total</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681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416</w:t>
            </w:r>
          </w:p>
        </w:tc>
      </w:tr>
      <w:tr w:rsidR="00C76625" w:rsidRPr="008C51F2" w:rsidTr="00C76625">
        <w:trPr>
          <w:trHeight w:val="315"/>
        </w:trPr>
        <w:tc>
          <w:tcPr>
            <w:tcW w:w="4126" w:type="dxa"/>
            <w:vMerge w:val="restart"/>
            <w:tcBorders>
              <w:top w:val="nil"/>
              <w:left w:val="single" w:sz="8" w:space="0" w:color="000000"/>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Family Care Centre</w:t>
            </w: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Belfast</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41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155</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Coleraine</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Craigavon</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15</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61</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Dungannon</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12</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Londonderry</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4</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16</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Venue total</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61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244</w:t>
            </w:r>
          </w:p>
        </w:tc>
      </w:tr>
      <w:tr w:rsidR="00C76625" w:rsidRPr="008C51F2" w:rsidTr="00C76625">
        <w:trPr>
          <w:trHeight w:val="615"/>
        </w:trPr>
        <w:tc>
          <w:tcPr>
            <w:tcW w:w="4126" w:type="dxa"/>
            <w:vMerge w:val="restart"/>
            <w:tcBorders>
              <w:top w:val="nil"/>
              <w:left w:val="single" w:sz="8" w:space="0" w:color="000000"/>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High Court</w:t>
            </w: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Royal Courts of Justice</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41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74</w:t>
            </w:r>
          </w:p>
        </w:tc>
      </w:tr>
      <w:tr w:rsidR="00C76625" w:rsidRPr="008C51F2" w:rsidTr="00C76625">
        <w:trPr>
          <w:trHeight w:val="315"/>
        </w:trPr>
        <w:tc>
          <w:tcPr>
            <w:tcW w:w="4126" w:type="dxa"/>
            <w:vMerge/>
            <w:tcBorders>
              <w:top w:val="nil"/>
              <w:left w:val="single" w:sz="8" w:space="0" w:color="000000"/>
              <w:bottom w:val="single" w:sz="8" w:space="0" w:color="000000"/>
              <w:right w:val="single" w:sz="8" w:space="0" w:color="000000"/>
            </w:tcBorders>
            <w:vAlign w:val="center"/>
            <w:hideMark/>
          </w:tcPr>
          <w:p w:rsidR="00C76625" w:rsidRPr="008C51F2" w:rsidRDefault="00C76625" w:rsidP="00C76625">
            <w:pPr>
              <w:rPr>
                <w:rFonts w:ascii="Arial" w:hAnsi="Arial" w:cs="Arial"/>
                <w:b/>
                <w:bCs/>
                <w:color w:val="000000"/>
                <w:lang w:eastAsia="en-GB"/>
              </w:rPr>
            </w:pPr>
          </w:p>
        </w:tc>
        <w:tc>
          <w:tcPr>
            <w:tcW w:w="1647" w:type="dxa"/>
            <w:tcBorders>
              <w:top w:val="nil"/>
              <w:left w:val="nil"/>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Venue total</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41</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74</w:t>
            </w:r>
          </w:p>
        </w:tc>
      </w:tr>
      <w:tr w:rsidR="00C76625" w:rsidRPr="008C51F2" w:rsidTr="00C76625">
        <w:trPr>
          <w:trHeight w:val="300"/>
        </w:trPr>
        <w:tc>
          <w:tcPr>
            <w:tcW w:w="5773" w:type="dxa"/>
            <w:gridSpan w:val="2"/>
            <w:tcBorders>
              <w:top w:val="single" w:sz="8" w:space="0" w:color="000000"/>
              <w:left w:val="single" w:sz="8" w:space="0" w:color="000000"/>
              <w:bottom w:val="single" w:sz="8" w:space="0" w:color="000000"/>
              <w:right w:val="single" w:sz="8" w:space="0" w:color="000000"/>
            </w:tcBorders>
            <w:shd w:val="clear" w:color="000000" w:fill="D3E8FB"/>
            <w:vAlign w:val="center"/>
            <w:hideMark/>
          </w:tcPr>
          <w:p w:rsidR="00C76625" w:rsidRPr="008C51F2" w:rsidRDefault="00C76625" w:rsidP="00C76625">
            <w:pPr>
              <w:rPr>
                <w:rFonts w:ascii="Arial" w:hAnsi="Arial" w:cs="Arial"/>
                <w:b/>
                <w:bCs/>
                <w:color w:val="000000"/>
                <w:lang w:eastAsia="en-GB"/>
              </w:rPr>
            </w:pPr>
            <w:r w:rsidRPr="008C51F2">
              <w:rPr>
                <w:rFonts w:ascii="Arial" w:hAnsi="Arial" w:cs="Arial"/>
                <w:b/>
                <w:bCs/>
                <w:color w:val="000000"/>
                <w:lang w:eastAsia="en-GB"/>
              </w:rPr>
              <w:t>Northern Ireland</w:t>
            </w:r>
            <w:r>
              <w:rPr>
                <w:rFonts w:ascii="Arial" w:hAnsi="Arial" w:cs="Arial"/>
                <w:b/>
                <w:bCs/>
                <w:color w:val="000000"/>
                <w:lang w:eastAsia="en-GB"/>
              </w:rPr>
              <w:t xml:space="preserve"> Total</w:t>
            </w:r>
          </w:p>
        </w:tc>
        <w:tc>
          <w:tcPr>
            <w:tcW w:w="15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783</w:t>
            </w:r>
          </w:p>
        </w:tc>
        <w:tc>
          <w:tcPr>
            <w:tcW w:w="1640" w:type="dxa"/>
            <w:tcBorders>
              <w:top w:val="nil"/>
              <w:left w:val="nil"/>
              <w:bottom w:val="single" w:sz="8" w:space="0" w:color="000000"/>
              <w:right w:val="single" w:sz="8" w:space="0" w:color="000000"/>
            </w:tcBorders>
            <w:shd w:val="clear" w:color="auto" w:fill="auto"/>
            <w:vAlign w:val="center"/>
            <w:hideMark/>
          </w:tcPr>
          <w:p w:rsidR="00C76625" w:rsidRPr="008C51F2" w:rsidRDefault="00C76625" w:rsidP="00C76625">
            <w:pPr>
              <w:jc w:val="center"/>
              <w:rPr>
                <w:rFonts w:ascii="Arial" w:hAnsi="Arial" w:cs="Arial"/>
                <w:color w:val="000000"/>
                <w:lang w:eastAsia="en-GB"/>
              </w:rPr>
            </w:pPr>
            <w:r w:rsidRPr="008C51F2">
              <w:rPr>
                <w:rFonts w:ascii="Arial" w:hAnsi="Arial" w:cs="Arial"/>
                <w:color w:val="000000"/>
                <w:lang w:eastAsia="en-GB"/>
              </w:rPr>
              <w:t>734</w:t>
            </w:r>
          </w:p>
        </w:tc>
      </w:tr>
    </w:tbl>
    <w:p w:rsidR="00C76625" w:rsidRPr="00D039F5" w:rsidRDefault="00C76625" w:rsidP="00C76625">
      <w:pPr>
        <w:rPr>
          <w:rFonts w:ascii="Arial" w:hAnsi="Arial" w:cs="Arial"/>
        </w:rPr>
      </w:pPr>
    </w:p>
    <w:p w:rsidR="00C76625" w:rsidRPr="00D039F5" w:rsidRDefault="00C76625" w:rsidP="00C76625">
      <w:pPr>
        <w:rPr>
          <w:rFonts w:ascii="Arial" w:hAnsi="Arial" w:cs="Arial"/>
        </w:rPr>
      </w:pPr>
    </w:p>
    <w:p w:rsidR="00C76625" w:rsidRPr="001B7FDD" w:rsidRDefault="001B7FDD" w:rsidP="002C5795">
      <w:pPr>
        <w:rPr>
          <w:rFonts w:ascii="Arial" w:hAnsi="Arial" w:cs="Arial"/>
          <w:b/>
          <w:color w:val="000000"/>
        </w:rPr>
      </w:pPr>
      <w:r>
        <w:rPr>
          <w:rFonts w:ascii="Arial" w:hAnsi="Arial" w:cs="Arial"/>
          <w:color w:val="000000"/>
          <w:sz w:val="36"/>
          <w:szCs w:val="36"/>
        </w:rPr>
        <w:br w:type="page"/>
      </w:r>
      <w:r w:rsidRPr="001B7FDD">
        <w:rPr>
          <w:rFonts w:ascii="Arial" w:hAnsi="Arial" w:cs="Arial"/>
          <w:b/>
          <w:color w:val="000000"/>
        </w:rPr>
        <w:lastRenderedPageBreak/>
        <w:t>Annex B</w:t>
      </w:r>
    </w:p>
    <w:p w:rsidR="001B7FDD" w:rsidRPr="00261F1D" w:rsidRDefault="001B7FDD" w:rsidP="001B7FDD">
      <w:pPr>
        <w:rPr>
          <w:rFonts w:ascii="Arial" w:eastAsia="Calibri" w:hAnsi="Arial" w:cs="Arial"/>
        </w:rPr>
      </w:pPr>
    </w:p>
    <w:p w:rsidR="001B7FDD" w:rsidRPr="00261F1D" w:rsidRDefault="001B7FDD" w:rsidP="001B7FDD">
      <w:pPr>
        <w:autoSpaceDE w:val="0"/>
        <w:autoSpaceDN w:val="0"/>
        <w:adjustRightInd w:val="0"/>
        <w:spacing w:line="360" w:lineRule="auto"/>
        <w:rPr>
          <w:rFonts w:ascii="Arial" w:eastAsia="Calibri" w:hAnsi="Arial" w:cs="Arial"/>
          <w:b/>
          <w:color w:val="000000"/>
          <w:lang w:val="en"/>
        </w:rPr>
      </w:pPr>
      <w:r w:rsidRPr="00261F1D">
        <w:rPr>
          <w:rFonts w:ascii="Arial" w:eastAsia="Calibri" w:hAnsi="Arial" w:cs="Arial"/>
          <w:b/>
          <w:color w:val="000000"/>
          <w:lang w:val="en"/>
        </w:rPr>
        <w:t>Privacy Notice – Consultations (DoJ)</w:t>
      </w:r>
    </w:p>
    <w:p w:rsidR="001B7FDD" w:rsidRPr="00261F1D" w:rsidRDefault="001B7FDD" w:rsidP="001B7FDD">
      <w:pPr>
        <w:spacing w:line="259" w:lineRule="auto"/>
        <w:rPr>
          <w:rFonts w:ascii="Arial" w:eastAsia="Calibri" w:hAnsi="Arial" w:cs="Arial"/>
        </w:rPr>
      </w:pPr>
      <w:r w:rsidRPr="00261F1D">
        <w:rPr>
          <w:rFonts w:ascii="Arial" w:eastAsia="Calibri" w:hAnsi="Arial" w:cs="Arial"/>
        </w:rPr>
        <w:t>Data Controller Name: Department of Justice (DoJ)</w:t>
      </w:r>
    </w:p>
    <w:p w:rsidR="001B7FDD" w:rsidRDefault="001B7FDD" w:rsidP="001B7FDD">
      <w:pPr>
        <w:spacing w:line="259" w:lineRule="auto"/>
        <w:rPr>
          <w:rFonts w:ascii="Arial" w:eastAsia="Calibri" w:hAnsi="Arial" w:cs="Arial"/>
        </w:rPr>
      </w:pPr>
      <w:r w:rsidRPr="00261F1D">
        <w:rPr>
          <w:rFonts w:ascii="Arial" w:eastAsia="Calibri" w:hAnsi="Arial" w:cs="Arial"/>
        </w:rPr>
        <w:t>Address: Castle Buildings, Stormont, BELFAST, BT4 3SG</w:t>
      </w:r>
    </w:p>
    <w:p w:rsidR="001B7FDD" w:rsidRPr="00261F1D" w:rsidRDefault="001B7FDD" w:rsidP="001B7FDD">
      <w:pPr>
        <w:spacing w:line="259" w:lineRule="auto"/>
        <w:rPr>
          <w:rFonts w:ascii="Arial" w:eastAsia="Calibri" w:hAnsi="Arial" w:cs="Arial"/>
        </w:rPr>
      </w:pPr>
    </w:p>
    <w:p w:rsidR="001B7FDD" w:rsidRPr="00261F1D" w:rsidRDefault="001B7FDD" w:rsidP="001B7FDD">
      <w:pPr>
        <w:spacing w:line="259" w:lineRule="auto"/>
        <w:rPr>
          <w:rFonts w:ascii="Arial" w:eastAsia="Calibri" w:hAnsi="Arial" w:cs="Arial"/>
        </w:rPr>
      </w:pPr>
      <w:r w:rsidRPr="00261F1D">
        <w:rPr>
          <w:rFonts w:ascii="Arial" w:eastAsia="Calibri" w:hAnsi="Arial" w:cs="Arial"/>
        </w:rPr>
        <w:t>Data Protection Officer Name: DoJ Data Protection Officer</w:t>
      </w:r>
    </w:p>
    <w:p w:rsidR="001B7FDD" w:rsidRPr="00261F1D" w:rsidRDefault="001B7FDD" w:rsidP="001B7FDD">
      <w:pPr>
        <w:spacing w:line="259" w:lineRule="auto"/>
        <w:rPr>
          <w:rFonts w:ascii="Arial" w:eastAsia="Calibri" w:hAnsi="Arial" w:cs="Arial"/>
        </w:rPr>
      </w:pPr>
      <w:r w:rsidRPr="00261F1D">
        <w:rPr>
          <w:rFonts w:ascii="Arial" w:eastAsia="Calibri" w:hAnsi="Arial" w:cs="Arial"/>
        </w:rPr>
        <w:t>Telephone: (028) 90378617</w:t>
      </w:r>
    </w:p>
    <w:p w:rsidR="001B7FDD" w:rsidRPr="00261F1D" w:rsidRDefault="001B7FDD" w:rsidP="001B7FDD">
      <w:pPr>
        <w:spacing w:line="259" w:lineRule="auto"/>
        <w:rPr>
          <w:rFonts w:ascii="Arial" w:eastAsia="Calibri" w:hAnsi="Arial" w:cs="Arial"/>
        </w:rPr>
      </w:pPr>
      <w:r w:rsidRPr="00261F1D">
        <w:rPr>
          <w:rFonts w:ascii="Arial" w:eastAsia="Calibri" w:hAnsi="Arial" w:cs="Arial"/>
        </w:rPr>
        <w:t xml:space="preserve">Email: </w:t>
      </w:r>
      <w:hyperlink r:id="rId12" w:history="1">
        <w:r w:rsidRPr="00261F1D">
          <w:rPr>
            <w:rFonts w:ascii="Arial" w:eastAsia="Calibri" w:hAnsi="Arial" w:cs="Arial"/>
            <w:color w:val="0563C1"/>
            <w:u w:val="single"/>
          </w:rPr>
          <w:t>DataProtectionOfficer@justice-ni.x.gsi.gov.uk</w:t>
        </w:r>
      </w:hyperlink>
      <w:r w:rsidRPr="00261F1D">
        <w:rPr>
          <w:rFonts w:ascii="Arial" w:eastAsia="Calibri" w:hAnsi="Arial" w:cs="Arial"/>
        </w:rPr>
        <w:t xml:space="preserve"> </w:t>
      </w:r>
    </w:p>
    <w:p w:rsidR="001B7FDD" w:rsidRPr="00261F1D" w:rsidRDefault="001B7FDD" w:rsidP="001B7FDD">
      <w:pPr>
        <w:rPr>
          <w:rFonts w:ascii="Calibri" w:eastAsia="Calibri" w:hAnsi="Calibri"/>
          <w:sz w:val="22"/>
          <w:szCs w:val="22"/>
        </w:rPr>
      </w:pPr>
    </w:p>
    <w:p w:rsidR="001B7FDD" w:rsidRPr="00261F1D" w:rsidRDefault="001B7FDD" w:rsidP="001B7FDD">
      <w:pPr>
        <w:autoSpaceDE w:val="0"/>
        <w:autoSpaceDN w:val="0"/>
        <w:adjustRightInd w:val="0"/>
        <w:rPr>
          <w:rFonts w:ascii="Arial" w:eastAsia="Calibri" w:hAnsi="Arial" w:cs="Arial"/>
          <w:b/>
          <w:bCs/>
        </w:rPr>
      </w:pPr>
      <w:r w:rsidRPr="00261F1D">
        <w:rPr>
          <w:rFonts w:ascii="Arial" w:eastAsia="Calibri" w:hAnsi="Arial" w:cs="Arial"/>
          <w:color w:val="000000"/>
          <w:lang w:val="en"/>
        </w:rPr>
        <w:t xml:space="preserve">Being transparent and providing accessible information to individuals about how we may use personal data is a key element of the </w:t>
      </w:r>
      <w:hyperlink r:id="rId13" w:history="1">
        <w:r w:rsidRPr="00261F1D">
          <w:rPr>
            <w:rFonts w:ascii="Arial" w:eastAsia="Calibri" w:hAnsi="Arial" w:cs="Arial"/>
            <w:color w:val="0563C1"/>
            <w:u w:val="single"/>
            <w:lang w:val="en"/>
          </w:rPr>
          <w:t>Data Protection Act (DPA)</w:t>
        </w:r>
      </w:hyperlink>
      <w:r w:rsidRPr="00261F1D">
        <w:rPr>
          <w:rFonts w:ascii="Arial" w:eastAsia="Calibri" w:hAnsi="Arial" w:cs="Arial"/>
          <w:color w:val="000000"/>
          <w:lang w:val="en"/>
        </w:rPr>
        <w:t xml:space="preserve"> and the </w:t>
      </w:r>
      <w:hyperlink r:id="rId14" w:history="1">
        <w:r w:rsidRPr="00261F1D">
          <w:rPr>
            <w:rFonts w:ascii="Arial" w:eastAsia="Calibri" w:hAnsi="Arial" w:cs="Arial"/>
            <w:color w:val="0563C1"/>
            <w:u w:val="single"/>
            <w:lang w:val="en"/>
          </w:rPr>
          <w:t>EU General Data Protection Regulation</w:t>
        </w:r>
      </w:hyperlink>
      <w:r w:rsidRPr="00261F1D">
        <w:rPr>
          <w:rFonts w:ascii="Arial" w:eastAsia="Calibri" w:hAnsi="Arial" w:cs="Arial"/>
          <w:color w:val="000000"/>
          <w:lang w:val="en"/>
        </w:rPr>
        <w:t xml:space="preserve"> (GDPR). The Department of Justice (DoJ) is committed to building trust and confidence in our ability to process your personal information and protect your privacy.</w:t>
      </w:r>
    </w:p>
    <w:p w:rsidR="001B7FDD" w:rsidRPr="00261F1D" w:rsidRDefault="001B7FDD" w:rsidP="001B7FDD">
      <w:pPr>
        <w:rPr>
          <w:rFonts w:ascii="Calibri" w:eastAsia="Calibri" w:hAnsi="Calibri"/>
          <w:sz w:val="22"/>
          <w:szCs w:val="22"/>
        </w:rPr>
      </w:pPr>
    </w:p>
    <w:p w:rsidR="001B7FDD" w:rsidRPr="00261F1D" w:rsidRDefault="001B7FDD" w:rsidP="001B7FDD">
      <w:pPr>
        <w:rPr>
          <w:rFonts w:ascii="Arial" w:eastAsia="Calibri" w:hAnsi="Arial" w:cs="Arial"/>
          <w:b/>
        </w:rPr>
      </w:pPr>
      <w:r w:rsidRPr="00261F1D">
        <w:rPr>
          <w:rFonts w:ascii="Arial" w:eastAsia="Calibri" w:hAnsi="Arial" w:cs="Arial"/>
          <w:b/>
        </w:rPr>
        <w:t xml:space="preserve">Purpose for processing </w:t>
      </w:r>
    </w:p>
    <w:p w:rsidR="001B7FDD" w:rsidRPr="00261F1D" w:rsidRDefault="001B7FDD" w:rsidP="001B7FDD">
      <w:pPr>
        <w:rPr>
          <w:rFonts w:ascii="Arial" w:eastAsia="Calibri" w:hAnsi="Arial" w:cs="Arial"/>
        </w:rPr>
      </w:pPr>
    </w:p>
    <w:p w:rsidR="001B7FDD" w:rsidRPr="00261F1D" w:rsidRDefault="001B7FDD" w:rsidP="001B7FDD">
      <w:pPr>
        <w:rPr>
          <w:rFonts w:ascii="Arial" w:eastAsia="Calibri" w:hAnsi="Arial" w:cs="Arial"/>
        </w:rPr>
      </w:pPr>
      <w:r w:rsidRPr="00261F1D">
        <w:rPr>
          <w:rFonts w:ascii="Arial" w:eastAsia="Calibri" w:hAnsi="Arial" w:cs="Arial"/>
        </w:rPr>
        <w:t>We will process personal data provided in response to consultations for the purpose of informing the development of our policy, guidance, or other regulatory work in the subject area of the request for views. We will publish a summary of the consultation responses and, in some cases, the responses themselves but these will not contain any personal data. We will not publish the names or contact details of respondents, but will include the names of organisations responding.</w:t>
      </w:r>
    </w:p>
    <w:p w:rsidR="001B7FDD" w:rsidRPr="00261F1D" w:rsidRDefault="001B7FDD" w:rsidP="001B7FDD">
      <w:pPr>
        <w:rPr>
          <w:rFonts w:ascii="Arial" w:eastAsia="Calibri" w:hAnsi="Arial" w:cs="Arial"/>
        </w:rPr>
      </w:pPr>
      <w:r w:rsidRPr="00261F1D">
        <w:rPr>
          <w:rFonts w:ascii="Arial" w:eastAsia="Calibri" w:hAnsi="Arial" w:cs="Arial"/>
        </w:rPr>
        <w:t xml:space="preserve">  </w:t>
      </w:r>
    </w:p>
    <w:p w:rsidR="001B7FDD" w:rsidRPr="00261F1D" w:rsidRDefault="001B7FDD" w:rsidP="001B7FDD">
      <w:pPr>
        <w:rPr>
          <w:rFonts w:ascii="Arial" w:eastAsia="Calibri" w:hAnsi="Arial" w:cs="Arial"/>
        </w:rPr>
      </w:pPr>
      <w:r w:rsidRPr="00261F1D">
        <w:rPr>
          <w:rFonts w:ascii="Arial" w:eastAsia="Calibri" w:hAnsi="Arial" w:cs="Arial"/>
        </w:rPr>
        <w:t>If you have indicated that you would be interested in contributing to further Department work on the subject matter covered by the consultation, then we might process your contact details to get in touch with you.</w:t>
      </w:r>
    </w:p>
    <w:p w:rsidR="001B7FDD" w:rsidRPr="00261F1D" w:rsidRDefault="001B7FDD" w:rsidP="001B7FDD">
      <w:pPr>
        <w:rPr>
          <w:rFonts w:ascii="Arial" w:eastAsia="Calibri" w:hAnsi="Arial" w:cs="Arial"/>
        </w:rPr>
      </w:pPr>
    </w:p>
    <w:p w:rsidR="001B7FDD" w:rsidRPr="00261F1D" w:rsidRDefault="001B7FDD" w:rsidP="001B7FDD">
      <w:pPr>
        <w:rPr>
          <w:rFonts w:ascii="Arial" w:eastAsia="Calibri" w:hAnsi="Arial" w:cs="Arial"/>
          <w:b/>
        </w:rPr>
      </w:pPr>
      <w:r w:rsidRPr="00261F1D">
        <w:rPr>
          <w:rFonts w:ascii="Arial" w:eastAsia="Calibri" w:hAnsi="Arial" w:cs="Arial"/>
          <w:b/>
        </w:rPr>
        <w:t xml:space="preserve">Lawful basis for processing </w:t>
      </w:r>
    </w:p>
    <w:p w:rsidR="001B7FDD" w:rsidRPr="00261F1D" w:rsidRDefault="001B7FDD" w:rsidP="001B7FDD">
      <w:pPr>
        <w:rPr>
          <w:rFonts w:ascii="Arial" w:eastAsia="Calibri" w:hAnsi="Arial" w:cs="Arial"/>
        </w:rPr>
      </w:pPr>
    </w:p>
    <w:p w:rsidR="001B7FDD" w:rsidRPr="00261F1D" w:rsidRDefault="001B7FDD" w:rsidP="001B7FDD">
      <w:pPr>
        <w:rPr>
          <w:rFonts w:ascii="Arial" w:eastAsia="Calibri" w:hAnsi="Arial" w:cs="Arial"/>
        </w:rPr>
      </w:pPr>
      <w:r w:rsidRPr="00261F1D">
        <w:rPr>
          <w:rFonts w:ascii="Arial" w:eastAsia="Calibri" w:hAnsi="Arial" w:cs="Arial"/>
        </w:rPr>
        <w:t>The lawful basis we are relying on to process your personal data is Article 6(1) (e) of the GDPR, which allows us to process personal data when this is necessary for the performance of our public tasks in our capacity as a Government Department.</w:t>
      </w:r>
    </w:p>
    <w:p w:rsidR="001B7FDD" w:rsidRPr="00261F1D" w:rsidRDefault="001B7FDD" w:rsidP="001B7FDD">
      <w:pPr>
        <w:rPr>
          <w:rFonts w:ascii="Arial" w:eastAsia="Calibri" w:hAnsi="Arial" w:cs="Arial"/>
        </w:rPr>
      </w:pPr>
    </w:p>
    <w:p w:rsidR="001B7FDD" w:rsidRPr="00261F1D" w:rsidRDefault="001B7FDD" w:rsidP="001B7FDD">
      <w:pPr>
        <w:spacing w:after="160" w:line="259" w:lineRule="auto"/>
        <w:rPr>
          <w:rFonts w:ascii="Arial" w:eastAsia="Calibri" w:hAnsi="Arial" w:cs="Arial"/>
        </w:rPr>
      </w:pPr>
      <w:r w:rsidRPr="00261F1D">
        <w:rPr>
          <w:rFonts w:ascii="Arial" w:eastAsia="Calibri" w:hAnsi="Arial" w:cs="Arial"/>
        </w:rPr>
        <w:t>We will only process any special category personal data you provide, which reveals racial or ethnic origin, political opinions, religious belief, health or sexual life/orientation when it is necessary for reasons of substantial public interest under Article 9(2) (g) of the GDPR, in the exercise of the function of the department, and to monitor equality.</w:t>
      </w:r>
    </w:p>
    <w:p w:rsidR="001B7FDD" w:rsidRPr="00261F1D" w:rsidRDefault="001B7FDD" w:rsidP="001B7FDD">
      <w:pPr>
        <w:rPr>
          <w:rFonts w:ascii="Arial" w:eastAsia="Calibri" w:hAnsi="Arial" w:cs="Arial"/>
          <w:b/>
        </w:rPr>
      </w:pPr>
      <w:r w:rsidRPr="00261F1D">
        <w:rPr>
          <w:rFonts w:ascii="Arial" w:eastAsia="Calibri" w:hAnsi="Arial" w:cs="Arial"/>
          <w:b/>
        </w:rPr>
        <w:t>How will your information be used and shared</w:t>
      </w:r>
    </w:p>
    <w:p w:rsidR="001B7FDD" w:rsidRPr="00261F1D" w:rsidRDefault="001B7FDD" w:rsidP="001B7FDD">
      <w:pPr>
        <w:rPr>
          <w:rFonts w:ascii="Arial" w:eastAsia="Calibri" w:hAnsi="Arial" w:cs="Arial"/>
        </w:rPr>
      </w:pPr>
      <w:r w:rsidRPr="00261F1D">
        <w:rPr>
          <w:rFonts w:ascii="Arial" w:eastAsia="Calibri" w:hAnsi="Arial" w:cs="Arial"/>
        </w:rPr>
        <w:t xml:space="preserve"> </w:t>
      </w:r>
    </w:p>
    <w:p w:rsidR="001B7FDD" w:rsidRPr="00261F1D" w:rsidRDefault="001B7FDD" w:rsidP="001B7FDD">
      <w:pPr>
        <w:rPr>
          <w:rFonts w:ascii="Arial" w:eastAsia="Calibri" w:hAnsi="Arial" w:cs="Arial"/>
        </w:rPr>
      </w:pPr>
      <w:r w:rsidRPr="00261F1D">
        <w:rPr>
          <w:rFonts w:ascii="Arial" w:eastAsia="Calibri" w:hAnsi="Arial" w:cs="Arial"/>
        </w:rPr>
        <w:t xml:space="preserve">We process the information internally for the above stated purpose. We don't intend to share your personal data with any third party. Any specific requests from a third party for us to share your personal data with them will be dealt with in accordance the provisions of the data protection laws. </w:t>
      </w:r>
    </w:p>
    <w:p w:rsidR="001B7FDD" w:rsidRPr="00261F1D" w:rsidRDefault="001B7FDD" w:rsidP="001B7FDD">
      <w:pPr>
        <w:rPr>
          <w:rFonts w:ascii="Arial" w:eastAsia="Calibri" w:hAnsi="Arial" w:cs="Arial"/>
        </w:rPr>
      </w:pPr>
    </w:p>
    <w:p w:rsidR="001B7FDD" w:rsidRPr="00261F1D" w:rsidRDefault="001B7FDD" w:rsidP="001B7FDD">
      <w:pPr>
        <w:rPr>
          <w:rFonts w:ascii="Arial" w:eastAsia="Calibri" w:hAnsi="Arial" w:cs="Arial"/>
          <w:b/>
        </w:rPr>
      </w:pPr>
      <w:r w:rsidRPr="00261F1D">
        <w:rPr>
          <w:rFonts w:ascii="Arial" w:eastAsia="Calibri" w:hAnsi="Arial" w:cs="Arial"/>
          <w:b/>
        </w:rPr>
        <w:t>How long will we keep your information?</w:t>
      </w:r>
    </w:p>
    <w:p w:rsidR="001B7FDD" w:rsidRPr="00261F1D" w:rsidRDefault="001B7FDD" w:rsidP="001B7FDD">
      <w:pPr>
        <w:rPr>
          <w:rFonts w:ascii="Arial" w:eastAsia="Calibri" w:hAnsi="Arial" w:cs="Arial"/>
        </w:rPr>
      </w:pPr>
    </w:p>
    <w:p w:rsidR="001B7FDD" w:rsidRPr="00261F1D" w:rsidRDefault="001B7FDD" w:rsidP="001B7FDD">
      <w:pPr>
        <w:rPr>
          <w:rFonts w:ascii="Arial" w:eastAsia="Calibri" w:hAnsi="Arial" w:cs="Arial"/>
        </w:rPr>
      </w:pPr>
      <w:r w:rsidRPr="00261F1D">
        <w:rPr>
          <w:rFonts w:ascii="Arial" w:eastAsia="Calibri" w:hAnsi="Arial" w:cs="Arial"/>
        </w:rPr>
        <w:t xml:space="preserve">We will retain consultation response information until our work on the subject matter of the consultation is complete, and in line with the Department’s approved Retention and Disposal Schedule </w:t>
      </w:r>
      <w:hyperlink r:id="rId15" w:history="1">
        <w:r w:rsidRPr="00261F1D">
          <w:rPr>
            <w:rFonts w:ascii="Arial" w:eastAsia="Calibri" w:hAnsi="Arial" w:cs="Arial"/>
            <w:color w:val="0563C1"/>
            <w:u w:val="single"/>
          </w:rPr>
          <w:t>DoJ Retention &amp; Disposal Schedule</w:t>
        </w:r>
      </w:hyperlink>
      <w:r w:rsidRPr="00261F1D">
        <w:rPr>
          <w:rFonts w:ascii="Arial" w:eastAsia="Calibri" w:hAnsi="Arial" w:cs="Arial"/>
        </w:rPr>
        <w:t>.</w:t>
      </w:r>
    </w:p>
    <w:p w:rsidR="001B7FDD" w:rsidRPr="00261F1D" w:rsidRDefault="001B7FDD" w:rsidP="001B7FDD">
      <w:pPr>
        <w:rPr>
          <w:rFonts w:ascii="Arial" w:eastAsia="Calibri" w:hAnsi="Arial" w:cs="Arial"/>
        </w:rPr>
      </w:pPr>
      <w:r w:rsidRPr="00261F1D">
        <w:rPr>
          <w:rFonts w:ascii="Arial" w:eastAsia="Calibri" w:hAnsi="Arial" w:cs="Arial"/>
        </w:rPr>
        <w:t xml:space="preserve"> </w:t>
      </w:r>
    </w:p>
    <w:p w:rsidR="001B7FDD" w:rsidRPr="00261F1D" w:rsidRDefault="001B7FDD" w:rsidP="001B7FDD">
      <w:pPr>
        <w:rPr>
          <w:rFonts w:ascii="Arial" w:eastAsia="Calibri" w:hAnsi="Arial" w:cs="Arial"/>
          <w:b/>
        </w:rPr>
      </w:pPr>
      <w:r w:rsidRPr="00261F1D">
        <w:rPr>
          <w:rFonts w:ascii="Arial" w:eastAsia="Calibri" w:hAnsi="Arial" w:cs="Arial"/>
          <w:b/>
        </w:rPr>
        <w:t>What are your rights?</w:t>
      </w:r>
    </w:p>
    <w:p w:rsidR="001B7FDD" w:rsidRPr="00261F1D" w:rsidRDefault="001B7FDD" w:rsidP="001B7FDD">
      <w:pPr>
        <w:rPr>
          <w:rFonts w:ascii="Arial" w:eastAsia="Calibri" w:hAnsi="Arial" w:cs="Arial"/>
        </w:rPr>
      </w:pPr>
    </w:p>
    <w:p w:rsidR="001B7FDD" w:rsidRPr="00261F1D" w:rsidRDefault="001B7FDD" w:rsidP="001B7FDD">
      <w:pPr>
        <w:numPr>
          <w:ilvl w:val="0"/>
          <w:numId w:val="8"/>
        </w:numPr>
        <w:spacing w:after="240" w:line="360" w:lineRule="auto"/>
        <w:contextualSpacing/>
        <w:rPr>
          <w:rFonts w:ascii="Arial" w:hAnsi="Arial" w:cs="Arial"/>
          <w:color w:val="000000"/>
        </w:rPr>
      </w:pPr>
      <w:r w:rsidRPr="00261F1D">
        <w:rPr>
          <w:rFonts w:ascii="Arial" w:hAnsi="Arial" w:cs="Arial"/>
          <w:color w:val="000000"/>
        </w:rPr>
        <w:t xml:space="preserve">You have the right to obtain confirmation that your data is being </w:t>
      </w:r>
      <w:hyperlink r:id="rId16" w:history="1">
        <w:r w:rsidRPr="00261F1D">
          <w:rPr>
            <w:rFonts w:ascii="Arial" w:hAnsi="Arial" w:cs="Arial"/>
            <w:color w:val="0563C1"/>
            <w:u w:val="single"/>
          </w:rPr>
          <w:t>processed, and access to your personal data</w:t>
        </w:r>
      </w:hyperlink>
    </w:p>
    <w:p w:rsidR="001B7FDD" w:rsidRPr="00261F1D" w:rsidRDefault="001B7FDD" w:rsidP="001B7FDD">
      <w:pPr>
        <w:numPr>
          <w:ilvl w:val="0"/>
          <w:numId w:val="8"/>
        </w:numPr>
        <w:spacing w:after="240" w:line="360" w:lineRule="auto"/>
        <w:contextualSpacing/>
        <w:rPr>
          <w:rFonts w:ascii="Arial" w:eastAsia="Calibri" w:hAnsi="Arial" w:cs="Arial"/>
          <w:color w:val="000000"/>
        </w:rPr>
      </w:pPr>
      <w:r w:rsidRPr="00261F1D">
        <w:rPr>
          <w:rFonts w:ascii="Arial" w:eastAsia="Calibri" w:hAnsi="Arial" w:cs="Arial"/>
          <w:color w:val="000000"/>
        </w:rPr>
        <w:t xml:space="preserve">You are entitled to have personal data </w:t>
      </w:r>
      <w:hyperlink r:id="rId17" w:history="1">
        <w:r w:rsidRPr="00261F1D">
          <w:rPr>
            <w:rFonts w:ascii="Arial" w:eastAsia="Calibri" w:hAnsi="Arial" w:cs="Arial"/>
            <w:color w:val="0563C1"/>
            <w:u w:val="single"/>
          </w:rPr>
          <w:t>rectified if it is inaccurate or incomplete</w:t>
        </w:r>
      </w:hyperlink>
    </w:p>
    <w:p w:rsidR="001B7FDD" w:rsidRPr="00261F1D" w:rsidRDefault="001B7FDD" w:rsidP="001B7FDD">
      <w:pPr>
        <w:numPr>
          <w:ilvl w:val="0"/>
          <w:numId w:val="8"/>
        </w:numPr>
        <w:spacing w:after="240" w:line="360" w:lineRule="auto"/>
        <w:contextualSpacing/>
        <w:rPr>
          <w:rFonts w:ascii="Arial" w:eastAsia="Calibri" w:hAnsi="Arial" w:cs="Arial"/>
          <w:color w:val="000000"/>
        </w:rPr>
      </w:pPr>
      <w:r w:rsidRPr="00261F1D">
        <w:rPr>
          <w:rFonts w:ascii="Arial" w:eastAsia="Calibri" w:hAnsi="Arial" w:cs="Arial"/>
          <w:color w:val="000000"/>
        </w:rPr>
        <w:t xml:space="preserve">You have a right to have personal data </w:t>
      </w:r>
      <w:hyperlink r:id="rId18" w:history="1">
        <w:r w:rsidRPr="00261F1D">
          <w:rPr>
            <w:rFonts w:ascii="Arial" w:eastAsia="Calibri" w:hAnsi="Arial" w:cs="Arial"/>
            <w:color w:val="0563C1"/>
            <w:u w:val="single"/>
          </w:rPr>
          <w:t>erased and to prevent processing</w:t>
        </w:r>
      </w:hyperlink>
      <w:r w:rsidRPr="00261F1D">
        <w:rPr>
          <w:rFonts w:ascii="Arial" w:eastAsia="Calibri" w:hAnsi="Arial" w:cs="Arial"/>
          <w:color w:val="000000"/>
        </w:rPr>
        <w:t xml:space="preserve">, </w:t>
      </w:r>
      <w:r w:rsidRPr="00261F1D">
        <w:rPr>
          <w:rFonts w:ascii="Arial" w:eastAsia="Calibri" w:hAnsi="Arial" w:cs="Arial"/>
        </w:rPr>
        <w:t>in specific circumstances</w:t>
      </w:r>
      <w:r w:rsidRPr="00261F1D">
        <w:rPr>
          <w:rFonts w:ascii="Arial" w:eastAsia="Calibri" w:hAnsi="Arial" w:cs="Arial"/>
          <w:color w:val="000000"/>
        </w:rPr>
        <w:t xml:space="preserve"> </w:t>
      </w:r>
    </w:p>
    <w:p w:rsidR="001B7FDD" w:rsidRPr="00261F1D" w:rsidRDefault="001B7FDD" w:rsidP="001B7FDD">
      <w:pPr>
        <w:numPr>
          <w:ilvl w:val="0"/>
          <w:numId w:val="8"/>
        </w:numPr>
        <w:spacing w:after="240" w:line="360" w:lineRule="auto"/>
        <w:contextualSpacing/>
        <w:rPr>
          <w:rFonts w:ascii="Arial" w:eastAsia="Calibri" w:hAnsi="Arial" w:cs="Arial"/>
          <w:color w:val="000000"/>
        </w:rPr>
      </w:pPr>
      <w:r w:rsidRPr="00261F1D">
        <w:rPr>
          <w:rFonts w:ascii="Arial" w:eastAsia="Calibri" w:hAnsi="Arial" w:cs="Arial"/>
          <w:color w:val="000000"/>
        </w:rPr>
        <w:t xml:space="preserve">You have the right </w:t>
      </w:r>
      <w:hyperlink r:id="rId19" w:history="1">
        <w:r w:rsidRPr="00261F1D">
          <w:rPr>
            <w:rFonts w:ascii="Arial" w:eastAsia="Calibri" w:hAnsi="Arial" w:cs="Arial"/>
            <w:color w:val="0563C1"/>
            <w:u w:val="single"/>
          </w:rPr>
          <w:t>to ‘block’ or suppress processing</w:t>
        </w:r>
      </w:hyperlink>
      <w:r w:rsidRPr="00261F1D">
        <w:rPr>
          <w:rFonts w:ascii="Arial" w:eastAsia="Calibri" w:hAnsi="Arial" w:cs="Arial"/>
          <w:color w:val="000000"/>
        </w:rPr>
        <w:t xml:space="preserve"> of personal data, </w:t>
      </w:r>
      <w:r w:rsidRPr="00261F1D">
        <w:rPr>
          <w:rFonts w:ascii="Arial" w:eastAsia="Calibri" w:hAnsi="Arial" w:cs="Arial"/>
        </w:rPr>
        <w:t>in specific circumstances</w:t>
      </w:r>
    </w:p>
    <w:p w:rsidR="001B7FDD" w:rsidRPr="00261F1D" w:rsidRDefault="001B7FDD" w:rsidP="001B7FDD">
      <w:pPr>
        <w:numPr>
          <w:ilvl w:val="0"/>
          <w:numId w:val="8"/>
        </w:numPr>
        <w:spacing w:after="240" w:line="360" w:lineRule="auto"/>
        <w:contextualSpacing/>
        <w:rPr>
          <w:rFonts w:ascii="Arial" w:eastAsia="Calibri" w:hAnsi="Arial" w:cs="Arial"/>
          <w:color w:val="000000"/>
        </w:rPr>
      </w:pPr>
      <w:r w:rsidRPr="00261F1D">
        <w:rPr>
          <w:rFonts w:ascii="Arial" w:eastAsia="Calibri" w:hAnsi="Arial" w:cs="Arial"/>
          <w:color w:val="000000"/>
        </w:rPr>
        <w:t xml:space="preserve">You have the right to </w:t>
      </w:r>
      <w:hyperlink r:id="rId20" w:history="1">
        <w:r w:rsidRPr="00261F1D">
          <w:rPr>
            <w:rFonts w:ascii="Arial" w:eastAsia="Calibri" w:hAnsi="Arial" w:cs="Arial"/>
            <w:color w:val="0563C1"/>
            <w:u w:val="single"/>
          </w:rPr>
          <w:t>data portability</w:t>
        </w:r>
      </w:hyperlink>
      <w:r w:rsidRPr="00261F1D">
        <w:rPr>
          <w:rFonts w:ascii="Arial" w:eastAsia="Calibri" w:hAnsi="Arial" w:cs="Arial"/>
          <w:color w:val="000000"/>
        </w:rPr>
        <w:t xml:space="preserve">, </w:t>
      </w:r>
      <w:r w:rsidRPr="00261F1D">
        <w:rPr>
          <w:rFonts w:ascii="Arial" w:eastAsia="Calibri" w:hAnsi="Arial" w:cs="Arial"/>
        </w:rPr>
        <w:t>in specific circumstances</w:t>
      </w:r>
    </w:p>
    <w:p w:rsidR="001B7FDD" w:rsidRPr="00261F1D" w:rsidRDefault="001B7FDD" w:rsidP="001B7FDD">
      <w:pPr>
        <w:numPr>
          <w:ilvl w:val="0"/>
          <w:numId w:val="8"/>
        </w:numPr>
        <w:spacing w:after="240" w:line="360" w:lineRule="auto"/>
        <w:contextualSpacing/>
        <w:rPr>
          <w:rFonts w:ascii="Calibri" w:eastAsia="Calibri" w:hAnsi="Calibri"/>
          <w:bCs/>
          <w:sz w:val="22"/>
          <w:szCs w:val="22"/>
        </w:rPr>
      </w:pPr>
      <w:r w:rsidRPr="00261F1D">
        <w:rPr>
          <w:rFonts w:ascii="Arial" w:eastAsia="Calibri" w:hAnsi="Arial" w:cs="Arial"/>
          <w:b/>
          <w:bCs/>
          <w:color w:val="000000"/>
        </w:rPr>
        <w:t xml:space="preserve">You have the right to </w:t>
      </w:r>
      <w:hyperlink r:id="rId21" w:history="1">
        <w:r w:rsidRPr="00261F1D">
          <w:rPr>
            <w:rFonts w:ascii="Arial" w:eastAsia="Calibri" w:hAnsi="Arial" w:cs="Arial"/>
            <w:color w:val="0563C1"/>
            <w:u w:val="single"/>
          </w:rPr>
          <w:t>object to the processing</w:t>
        </w:r>
      </w:hyperlink>
      <w:r w:rsidRPr="00261F1D">
        <w:rPr>
          <w:rFonts w:ascii="Arial" w:eastAsia="Calibri" w:hAnsi="Arial" w:cs="Arial"/>
          <w:b/>
          <w:bCs/>
          <w:color w:val="000000"/>
        </w:rPr>
        <w:t xml:space="preserve">, </w:t>
      </w:r>
      <w:r w:rsidRPr="00261F1D">
        <w:rPr>
          <w:rFonts w:ascii="Arial" w:eastAsia="Calibri" w:hAnsi="Arial" w:cs="Arial"/>
        </w:rPr>
        <w:t>in specific circumstances</w:t>
      </w:r>
    </w:p>
    <w:p w:rsidR="001B7FDD" w:rsidRPr="00261F1D" w:rsidRDefault="001B7FDD" w:rsidP="001B7FDD">
      <w:pPr>
        <w:numPr>
          <w:ilvl w:val="0"/>
          <w:numId w:val="8"/>
        </w:numPr>
        <w:spacing w:after="240" w:line="360" w:lineRule="auto"/>
        <w:contextualSpacing/>
        <w:rPr>
          <w:rFonts w:ascii="Arial" w:eastAsia="Calibri" w:hAnsi="Arial" w:cs="Arial"/>
          <w:bCs/>
          <w:color w:val="000000"/>
        </w:rPr>
      </w:pPr>
      <w:r w:rsidRPr="00261F1D">
        <w:rPr>
          <w:rFonts w:ascii="Arial" w:eastAsia="Calibri" w:hAnsi="Arial" w:cs="Arial"/>
          <w:b/>
          <w:bCs/>
          <w:color w:val="000000"/>
        </w:rPr>
        <w:t xml:space="preserve">You have rights </w:t>
      </w:r>
      <w:r w:rsidRPr="00261F1D">
        <w:rPr>
          <w:rFonts w:ascii="Arial" w:eastAsia="Calibri" w:hAnsi="Arial" w:cs="Arial"/>
          <w:b/>
          <w:bCs/>
        </w:rPr>
        <w:t xml:space="preserve">in relation to </w:t>
      </w:r>
      <w:hyperlink r:id="rId22" w:history="1">
        <w:r w:rsidRPr="00261F1D">
          <w:rPr>
            <w:rFonts w:ascii="Arial" w:eastAsia="Calibri" w:hAnsi="Arial" w:cs="Arial"/>
            <w:color w:val="0563C1"/>
            <w:u w:val="single"/>
          </w:rPr>
          <w:t>automated decision making and profiling</w:t>
        </w:r>
      </w:hyperlink>
      <w:r w:rsidRPr="00261F1D">
        <w:rPr>
          <w:rFonts w:ascii="Arial" w:eastAsia="Calibri" w:hAnsi="Arial" w:cs="Arial"/>
          <w:color w:val="0563C1"/>
          <w:u w:val="single"/>
        </w:rPr>
        <w:t>.</w:t>
      </w:r>
    </w:p>
    <w:p w:rsidR="001B7FDD" w:rsidRPr="00261F1D" w:rsidRDefault="001B7FDD" w:rsidP="001B7FDD">
      <w:pPr>
        <w:spacing w:after="240"/>
        <w:rPr>
          <w:rFonts w:ascii="Arial" w:eastAsia="Calibri" w:hAnsi="Arial" w:cs="Arial"/>
          <w:b/>
          <w:bCs/>
        </w:rPr>
      </w:pPr>
      <w:r w:rsidRPr="00261F1D">
        <w:rPr>
          <w:rFonts w:ascii="Arial" w:eastAsia="Calibri" w:hAnsi="Arial" w:cs="Arial"/>
          <w:b/>
          <w:bCs/>
        </w:rPr>
        <w:t>How to complain if you are not happy with how we process your personal information</w:t>
      </w:r>
    </w:p>
    <w:p w:rsidR="001B7FDD" w:rsidRPr="00261F1D" w:rsidRDefault="001B7FDD" w:rsidP="001B7FDD">
      <w:pPr>
        <w:rPr>
          <w:rFonts w:ascii="Arial" w:eastAsia="Calibri" w:hAnsi="Arial" w:cs="Arial"/>
        </w:rPr>
      </w:pPr>
      <w:r w:rsidRPr="00261F1D">
        <w:rPr>
          <w:rFonts w:ascii="Arial" w:eastAsia="Calibri" w:hAnsi="Arial" w:cs="Arial"/>
        </w:rPr>
        <w:t>If you wish to request access, object or raise a complaint about how we have handled your data, you can contact our Data Protection Officer using the details above.</w:t>
      </w:r>
    </w:p>
    <w:p w:rsidR="001B7FDD" w:rsidRPr="00261F1D" w:rsidRDefault="001B7FDD" w:rsidP="001B7FDD">
      <w:pPr>
        <w:rPr>
          <w:rFonts w:ascii="Arial" w:eastAsia="Calibri" w:hAnsi="Arial" w:cs="Arial"/>
        </w:rPr>
      </w:pPr>
    </w:p>
    <w:p w:rsidR="001B7FDD" w:rsidRPr="00261F1D" w:rsidRDefault="001B7FDD" w:rsidP="001B7FDD">
      <w:pPr>
        <w:rPr>
          <w:rFonts w:ascii="Arial" w:eastAsia="Calibri" w:hAnsi="Arial" w:cs="Arial"/>
        </w:rPr>
      </w:pPr>
      <w:r w:rsidRPr="00261F1D">
        <w:rPr>
          <w:rFonts w:ascii="Arial" w:eastAsia="Calibri" w:hAnsi="Arial" w:cs="Arial"/>
        </w:rPr>
        <w:t>If you are not satisfied with our response or believe we are not processing your personal data in accordance with the law, you can complain to the Information Commissioner at:</w:t>
      </w:r>
    </w:p>
    <w:p w:rsidR="001B7FDD" w:rsidRPr="00261F1D" w:rsidRDefault="001B7FDD" w:rsidP="001B7FDD">
      <w:pPr>
        <w:rPr>
          <w:rFonts w:ascii="Arial" w:eastAsia="Calibri" w:hAnsi="Arial" w:cs="Arial"/>
        </w:rPr>
      </w:pPr>
    </w:p>
    <w:p w:rsidR="001B7FDD" w:rsidRPr="00261F1D" w:rsidRDefault="001B7FDD" w:rsidP="001B7FDD">
      <w:pPr>
        <w:rPr>
          <w:rFonts w:ascii="Arial" w:eastAsia="Calibri" w:hAnsi="Arial" w:cs="Arial"/>
        </w:rPr>
      </w:pPr>
      <w:r w:rsidRPr="00261F1D">
        <w:rPr>
          <w:rFonts w:ascii="Arial" w:eastAsia="Calibri" w:hAnsi="Arial" w:cs="Arial"/>
        </w:rPr>
        <w:t xml:space="preserve">Information Commissioner’s Office  </w:t>
      </w:r>
    </w:p>
    <w:p w:rsidR="001B7FDD" w:rsidRPr="00261F1D" w:rsidRDefault="001B7FDD" w:rsidP="001B7FDD">
      <w:pPr>
        <w:rPr>
          <w:rFonts w:ascii="Arial" w:eastAsia="Calibri" w:hAnsi="Arial" w:cs="Arial"/>
        </w:rPr>
      </w:pPr>
      <w:r w:rsidRPr="00261F1D">
        <w:rPr>
          <w:rFonts w:ascii="Arial" w:eastAsia="Calibri" w:hAnsi="Arial" w:cs="Arial"/>
        </w:rPr>
        <w:t xml:space="preserve">Wycliffe House  </w:t>
      </w:r>
    </w:p>
    <w:p w:rsidR="001B7FDD" w:rsidRPr="00261F1D" w:rsidRDefault="001B7FDD" w:rsidP="001B7FDD">
      <w:pPr>
        <w:rPr>
          <w:rFonts w:ascii="Arial" w:eastAsia="Calibri" w:hAnsi="Arial" w:cs="Arial"/>
        </w:rPr>
      </w:pPr>
      <w:r w:rsidRPr="00261F1D">
        <w:rPr>
          <w:rFonts w:ascii="Arial" w:eastAsia="Calibri" w:hAnsi="Arial" w:cs="Arial"/>
        </w:rPr>
        <w:t xml:space="preserve">Water Lane  </w:t>
      </w:r>
    </w:p>
    <w:p w:rsidR="001B7FDD" w:rsidRPr="00261F1D" w:rsidRDefault="001B7FDD" w:rsidP="001B7FDD">
      <w:pPr>
        <w:rPr>
          <w:rFonts w:ascii="Arial" w:eastAsia="Calibri" w:hAnsi="Arial" w:cs="Arial"/>
        </w:rPr>
      </w:pPr>
      <w:r w:rsidRPr="00261F1D">
        <w:rPr>
          <w:rFonts w:ascii="Arial" w:eastAsia="Calibri" w:hAnsi="Arial" w:cs="Arial"/>
        </w:rPr>
        <w:t xml:space="preserve">Wilmslow  </w:t>
      </w:r>
    </w:p>
    <w:p w:rsidR="001B7FDD" w:rsidRPr="00261F1D" w:rsidRDefault="001B7FDD" w:rsidP="001B7FDD">
      <w:pPr>
        <w:rPr>
          <w:rFonts w:ascii="Arial" w:eastAsia="Calibri" w:hAnsi="Arial" w:cs="Arial"/>
        </w:rPr>
      </w:pPr>
      <w:proofErr w:type="gramStart"/>
      <w:r w:rsidRPr="00261F1D">
        <w:rPr>
          <w:rFonts w:ascii="Arial" w:eastAsia="Calibri" w:hAnsi="Arial" w:cs="Arial"/>
        </w:rPr>
        <w:t>Cheshire  SK9</w:t>
      </w:r>
      <w:proofErr w:type="gramEnd"/>
      <w:r w:rsidRPr="00261F1D">
        <w:rPr>
          <w:rFonts w:ascii="Arial" w:eastAsia="Calibri" w:hAnsi="Arial" w:cs="Arial"/>
        </w:rPr>
        <w:t xml:space="preserve"> 5AF </w:t>
      </w:r>
    </w:p>
    <w:p w:rsidR="001B7FDD" w:rsidRDefault="0025212C" w:rsidP="001B7FDD">
      <w:pPr>
        <w:rPr>
          <w:rFonts w:ascii="Arial" w:hAnsi="Arial" w:cs="Arial"/>
          <w:b/>
          <w:color w:val="000000"/>
        </w:rPr>
      </w:pPr>
      <w:hyperlink r:id="rId23" w:history="1">
        <w:r w:rsidR="001B7FDD" w:rsidRPr="00261F1D">
          <w:rPr>
            <w:rFonts w:ascii="Arial" w:eastAsia="Calibri" w:hAnsi="Arial" w:cs="Arial"/>
            <w:color w:val="0563C1"/>
            <w:u w:val="single"/>
          </w:rPr>
          <w:t>casework@ico.org.uk</w:t>
        </w:r>
      </w:hyperlink>
      <w:r w:rsidR="001B7FDD" w:rsidRPr="00261F1D">
        <w:rPr>
          <w:rFonts w:ascii="Arial" w:eastAsia="Calibri" w:hAnsi="Arial" w:cs="Arial"/>
        </w:rPr>
        <w:t xml:space="preserve"> </w:t>
      </w:r>
    </w:p>
    <w:p w:rsidR="001B7FDD" w:rsidRPr="008C69AB" w:rsidRDefault="001B7FDD" w:rsidP="001B7FDD"/>
    <w:p w:rsidR="001B7FDD" w:rsidRPr="001B7FDD" w:rsidRDefault="001B7FDD" w:rsidP="002C5795">
      <w:pPr>
        <w:rPr>
          <w:rFonts w:ascii="Arial" w:hAnsi="Arial" w:cs="Arial"/>
          <w:color w:val="000000"/>
        </w:rPr>
      </w:pPr>
    </w:p>
    <w:sectPr w:rsidR="001B7FDD" w:rsidRPr="001B7FDD" w:rsidSect="00C76625">
      <w:headerReference w:type="default" r:id="rId24"/>
      <w:pgSz w:w="11899" w:h="16838"/>
      <w:pgMar w:top="1418" w:right="1134" w:bottom="1701" w:left="1418" w:header="907" w:footer="17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DD" w:rsidRDefault="001B7FDD">
      <w:r>
        <w:separator/>
      </w:r>
    </w:p>
  </w:endnote>
  <w:endnote w:type="continuationSeparator" w:id="0">
    <w:p w:rsidR="001B7FDD" w:rsidRDefault="001B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DD" w:rsidRPr="0090113C" w:rsidRDefault="001B7FDD">
    <w:pPr>
      <w:pStyle w:val="Footer"/>
      <w:rPr>
        <w:rFonts w:ascii="Franklin Gothic Medium" w:hAnsi="Franklin Gothic Medium"/>
        <w:color w:val="FFFFFF"/>
        <w:sz w:val="20"/>
        <w:szCs w:val="20"/>
      </w:rPr>
    </w:pPr>
    <w:r>
      <w:rPr>
        <w:rFonts w:ascii="Franklin Gothic Medium" w:hAnsi="Franklin Gothic Medium"/>
        <w:color w:val="FFFFFF"/>
        <w:sz w:val="20"/>
      </w:rPr>
      <w:t>Working in partnership to create a fair, just and safe community where we respect the law and each oth</w:t>
    </w:r>
    <w:r w:rsidR="0025212C">
      <w:rPr>
        <w:rFonts w:ascii="Franklin Gothic Medium" w:hAnsi="Franklin Gothic Medium"/>
        <w:noProof/>
        <w:color w:val="FFFFFF"/>
        <w:sz w:val="20"/>
        <w:szCs w:val="20"/>
        <w:lang w:eastAsia="en-GB"/>
      </w:rPr>
      <w:pict>
        <v:rect id="_x0000_s2055" style="position:absolute;margin-left:-72.4pt;margin-top:803.2pt;width:597.15pt;height:62.8pt;z-index:-251656192;mso-wrap-edited:f;mso-position-horizontal-relative:text;mso-position-vertical-relative:page" wrapcoords="-43 0 -43 21031 21600 21031 21600 0 -43 0" fillcolor="#780b51" stroked="f" strokeweight="0">
          <w10:wrap anchory="page"/>
        </v:rect>
      </w:pict>
    </w:r>
    <w:r w:rsidR="0025212C">
      <w:rPr>
        <w:rFonts w:ascii="Franklin Gothic Medium" w:hAnsi="Franklin Gothic Medium"/>
        <w:noProof/>
        <w:color w:val="FFFFFF"/>
        <w:sz w:val="20"/>
        <w:szCs w:val="20"/>
        <w:lang w:eastAsia="en-GB"/>
      </w:rPr>
      <w:pict>
        <v:rect id="_x0000_s2054" style="position:absolute;margin-left:-58.9pt;margin-top:812.9pt;width:368.5pt;height:40.65pt;z-index:-251657216;mso-wrap-edited:f;mso-position-horizontal-relative:text;mso-position-vertical-relative:page" wrapcoords="-43 0 -43 21031 21600 21031 21600 0 -43 0" fillcolor="#780b51" stroked="f" strokeweight="0">
          <w10:wrap anchory="page"/>
        </v:rect>
      </w:pict>
    </w:r>
    <w:r w:rsidR="0025212C">
      <w:rPr>
        <w:rFonts w:ascii="Franklin Gothic Medium" w:hAnsi="Franklin Gothic Medium"/>
        <w:noProof/>
        <w:color w:val="FFFFFF"/>
        <w:sz w:val="20"/>
        <w:szCs w:val="20"/>
        <w:lang w:eastAsia="en-GB"/>
      </w:rPr>
      <w:pict>
        <v:rect id="_x0000_s2053" style="position:absolute;margin-left:-72.4pt;margin-top:812.9pt;width:597.15pt;height:28.35pt;z-index:-251658240;mso-wrap-edited:f;mso-position-horizontal-relative:text;mso-position-vertical-relative:page" wrapcoords="-43 0 -43 21031 21600 21031 21600 0 -43 0" fillcolor="#780b51" stroked="f" strokeweight="0">
          <w10:wrap anchory="page"/>
        </v:rect>
      </w:pict>
    </w:r>
    <w:r>
      <w:rPr>
        <w:rFonts w:ascii="Franklin Gothic Medium" w:hAnsi="Franklin Gothic Medium"/>
        <w:color w:val="FFFFFF"/>
        <w:sz w:val="20"/>
      </w:rPr>
      <w: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DD" w:rsidRPr="00FF0406" w:rsidRDefault="0025212C" w:rsidP="00E5107C">
    <w:pPr>
      <w:ind w:hanging="1134"/>
      <w:jc w:val="right"/>
    </w:pPr>
    <w:r>
      <w:rPr>
        <w:szCs w:val="20"/>
        <w:lang w:eastAsia="en-GB"/>
      </w:rPr>
      <w:pict>
        <v:rect id="_x0000_s2052" style="position:absolute;left:0;text-align:left;margin-left:-70.9pt;margin-top:801.35pt;width:595.35pt;height:40.65pt;z-index:-251659264;mso-wrap-edited:f;mso-position-vertical-relative:page" wrapcoords="-43 0 -43 21031 21600 21031 21600 0 -43 0" fillcolor="#780b51" stroked="f" strokeweight="0">
          <w10:wrap anchory="page"/>
        </v:rect>
      </w:pict>
    </w:r>
    <w:r w:rsidR="001B7FDD">
      <w:rPr>
        <w:rFonts w:ascii="Franklin Gothic Medium" w:hAnsi="Franklin Gothic Medium"/>
        <w:color w:val="FFFFFF"/>
        <w:sz w:val="20"/>
      </w:rPr>
      <w:t>Working in partnership to create a fair, just and safe community where we respect the law and each other.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DD" w:rsidRDefault="001B7FDD">
      <w:r>
        <w:separator/>
      </w:r>
    </w:p>
  </w:footnote>
  <w:footnote w:type="continuationSeparator" w:id="0">
    <w:p w:rsidR="001B7FDD" w:rsidRDefault="001B7FDD">
      <w:r>
        <w:continuationSeparator/>
      </w:r>
    </w:p>
  </w:footnote>
  <w:footnote w:id="1">
    <w:p w:rsidR="001B7FDD" w:rsidRDefault="001B7FDD" w:rsidP="006C7076">
      <w:pPr>
        <w:pStyle w:val="FootnoteText"/>
      </w:pPr>
      <w:r>
        <w:rPr>
          <w:rStyle w:val="FootnoteReference"/>
        </w:rPr>
        <w:t>[1]</w:t>
      </w:r>
      <w:r>
        <w:t xml:space="preserve"> The DoJ Consultation Privacy Notice is attached at Annex </w:t>
      </w:r>
      <w:r w:rsidRPr="001B7FDD">
        <w:t>B</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DD" w:rsidRPr="00FF0406" w:rsidRDefault="0025212C" w:rsidP="00174CE8">
    <w:pPr>
      <w:pStyle w:val="Noparagraphstyle"/>
      <w:tabs>
        <w:tab w:val="left" w:pos="5387"/>
      </w:tabs>
      <w:spacing w:line="240" w:lineRule="auto"/>
    </w:pPr>
    <w:r>
      <w:rPr>
        <w:szCs w:val="20"/>
        <w:lang w:val="en-GB" w:eastAsia="en-GB"/>
      </w:rPr>
      <w:pict>
        <v:shapetype id="_x0000_t202" coordsize="21600,21600" o:spt="202" path="m,l,21600r21600,l21600,xe">
          <v:stroke joinstyle="miter"/>
          <v:path gradientshapeok="t" o:connecttype="rect"/>
        </v:shapetype>
        <v:shape id="_x0000_s2051" type="#_x0000_t202" style="position:absolute;margin-left:70.9pt;margin-top:56.7pt;width:230.15pt;height:51.5pt;z-index:251656192;mso-position-horizontal-relative:page;mso-position-vertical-relative:page" filled="f" stroked="f">
          <v:textbox style="mso-next-textbox:#_x0000_s2051" inset="0,0,0,0">
            <w:txbxContent>
              <w:p w:rsidR="001B7FDD" w:rsidRPr="003A1892" w:rsidRDefault="001B7FDD" w:rsidP="002C75AC"/>
            </w:txbxContent>
          </v:textbox>
          <w10:wrap anchorx="page" anchory="page"/>
        </v:shape>
      </w:pict>
    </w:r>
    <w:r w:rsidR="001B7FDD">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141pt">
          <v:imagedata r:id="rId1" o:title="justice-rgb"/>
        </v:shape>
      </w:pict>
    </w:r>
  </w:p>
  <w:p w:rsidR="001B7FDD" w:rsidRPr="00FF0406" w:rsidRDefault="0025212C" w:rsidP="002C75AC">
    <w:pPr>
      <w:rPr>
        <w:rFonts w:ascii="Times" w:hAnsi="Times"/>
      </w:rPr>
    </w:pPr>
    <w:r>
      <w:rPr>
        <w:lang w:eastAsia="en-GB"/>
      </w:rPr>
      <w:pict>
        <v:shape id="_x0000_s2050" type="#_x0000_t202" style="position:absolute;margin-left:396.9pt;margin-top:130.4pt;width:198.45pt;height:139.8pt;z-index:251655168;mso-position-horizontal-relative:page;mso-position-vertical-relative:page" filled="f" stroked="f">
          <v:textbox style="mso-next-textbox:#_x0000_s2050" inset="0,0,0,0">
            <w:txbxContent>
              <w:p w:rsidR="001B7FDD" w:rsidRPr="00E64EE3" w:rsidRDefault="001B7FDD" w:rsidP="002C75AC">
                <w:pPr>
                  <w:widowControl w:val="0"/>
                  <w:autoSpaceDE w:val="0"/>
                  <w:autoSpaceDN w:val="0"/>
                  <w:adjustRightInd w:val="0"/>
                  <w:textAlignment w:val="center"/>
                  <w:rPr>
                    <w:rFonts w:ascii="Arial" w:hAnsi="Arial"/>
                    <w:color w:val="000000"/>
                    <w:sz w:val="20"/>
                    <w:szCs w:val="10"/>
                    <w:lang w:val="en-US"/>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DD" w:rsidRPr="00FF0406" w:rsidRDefault="0025212C" w:rsidP="00174CE8">
    <w:pPr>
      <w:pStyle w:val="Noparagraphstyle"/>
      <w:tabs>
        <w:tab w:val="left" w:pos="5387"/>
      </w:tabs>
      <w:spacing w:line="240" w:lineRule="auto"/>
    </w:pPr>
    <w:r>
      <w:rPr>
        <w:szCs w:val="20"/>
        <w:lang w:val="en-GB" w:eastAsia="en-GB"/>
      </w:rPr>
      <w:pict>
        <v:shapetype id="_x0000_t202" coordsize="21600,21600" o:spt="202" path="m,l,21600r21600,l21600,xe">
          <v:stroke joinstyle="miter"/>
          <v:path gradientshapeok="t" o:connecttype="rect"/>
        </v:shapetype>
        <v:shape id="_x0000_s2061" type="#_x0000_t202" style="position:absolute;margin-left:70.9pt;margin-top:56.7pt;width:230.15pt;height:51.5pt;z-index:251663360;mso-position-horizontal-relative:page;mso-position-vertical-relative:page" filled="f" stroked="f">
          <v:textbox style="mso-next-textbox:#_x0000_s2061" inset="0,0,0,0">
            <w:txbxContent>
              <w:p w:rsidR="001B7FDD" w:rsidRPr="003A1892" w:rsidRDefault="001B7FDD" w:rsidP="002C75AC"/>
            </w:txbxContent>
          </v:textbox>
          <w10:wrap anchorx="page" anchory="page"/>
        </v:shape>
      </w:pict>
    </w:r>
    <w:r w:rsidR="001B7FDD">
      <w:tab/>
    </w:r>
  </w:p>
  <w:p w:rsidR="001B7FDD" w:rsidRPr="00FF0406" w:rsidRDefault="0025212C" w:rsidP="002C75AC">
    <w:pPr>
      <w:rPr>
        <w:rFonts w:ascii="Times" w:hAnsi="Times"/>
      </w:rPr>
    </w:pPr>
    <w:r>
      <w:rPr>
        <w:lang w:eastAsia="en-GB"/>
      </w:rPr>
      <w:pict>
        <v:shape id="_x0000_s2060" type="#_x0000_t202" style="position:absolute;margin-left:396.9pt;margin-top:130.4pt;width:198.45pt;height:139.8pt;z-index:251662336;mso-position-horizontal-relative:page;mso-position-vertical-relative:page" filled="f" stroked="f">
          <v:textbox style="mso-next-textbox:#_x0000_s2060" inset="0,0,0,0">
            <w:txbxContent>
              <w:p w:rsidR="001B7FDD" w:rsidRPr="00E64EE3" w:rsidRDefault="001B7FDD" w:rsidP="002C75AC">
                <w:pPr>
                  <w:widowControl w:val="0"/>
                  <w:autoSpaceDE w:val="0"/>
                  <w:autoSpaceDN w:val="0"/>
                  <w:adjustRightInd w:val="0"/>
                  <w:textAlignment w:val="center"/>
                  <w:rPr>
                    <w:rFonts w:ascii="Arial" w:hAnsi="Arial"/>
                    <w:color w:val="000000"/>
                    <w:sz w:val="20"/>
                    <w:szCs w:val="10"/>
                    <w:lang w:val="en-US"/>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16A"/>
    <w:multiLevelType w:val="hybridMultilevel"/>
    <w:tmpl w:val="A8EA877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nsid w:val="0DFC2B3F"/>
    <w:multiLevelType w:val="hybridMultilevel"/>
    <w:tmpl w:val="9566D41E"/>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nsid w:val="271A43B2"/>
    <w:multiLevelType w:val="hybridMultilevel"/>
    <w:tmpl w:val="88C0D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013303"/>
    <w:multiLevelType w:val="multilevel"/>
    <w:tmpl w:val="7D409A8A"/>
    <w:lvl w:ilvl="0">
      <w:start w:val="1"/>
      <w:numFmt w:val="decimal"/>
      <w:lvlText w:val="%1."/>
      <w:lvlJc w:val="left"/>
      <w:pPr>
        <w:ind w:left="720" w:hanging="360"/>
      </w:pPr>
      <w:rPr>
        <w:rFonts w:ascii="Arial" w:hAnsi="Arial" w:cs="Arial"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4C6305B"/>
    <w:multiLevelType w:val="hybridMultilevel"/>
    <w:tmpl w:val="985C9D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B41DF2"/>
    <w:multiLevelType w:val="hybridMultilevel"/>
    <w:tmpl w:val="18B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1F100C"/>
    <w:multiLevelType w:val="multilevel"/>
    <w:tmpl w:val="815417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5"/>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65">
      <o:colormru v:ext="edit" colors="#8f2b63,#f7f7f7,#8b2963,#780b51"/>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E37"/>
    <w:rsid w:val="000025B1"/>
    <w:rsid w:val="0001095D"/>
    <w:rsid w:val="00053C20"/>
    <w:rsid w:val="00076815"/>
    <w:rsid w:val="0009122E"/>
    <w:rsid w:val="000F0E37"/>
    <w:rsid w:val="00125B54"/>
    <w:rsid w:val="00150862"/>
    <w:rsid w:val="00174CE8"/>
    <w:rsid w:val="001B7FDD"/>
    <w:rsid w:val="001D3947"/>
    <w:rsid w:val="0025212C"/>
    <w:rsid w:val="002830D9"/>
    <w:rsid w:val="002C5795"/>
    <w:rsid w:val="002C75AC"/>
    <w:rsid w:val="00380277"/>
    <w:rsid w:val="00384DCB"/>
    <w:rsid w:val="0040343E"/>
    <w:rsid w:val="004B5D94"/>
    <w:rsid w:val="004C5182"/>
    <w:rsid w:val="004C75EF"/>
    <w:rsid w:val="00597A09"/>
    <w:rsid w:val="005C6180"/>
    <w:rsid w:val="006178B5"/>
    <w:rsid w:val="00676F77"/>
    <w:rsid w:val="006C7076"/>
    <w:rsid w:val="006F3DF0"/>
    <w:rsid w:val="00737243"/>
    <w:rsid w:val="007B14BE"/>
    <w:rsid w:val="007E6D2A"/>
    <w:rsid w:val="00816048"/>
    <w:rsid w:val="00881FD9"/>
    <w:rsid w:val="0090113C"/>
    <w:rsid w:val="009015E3"/>
    <w:rsid w:val="00911816"/>
    <w:rsid w:val="00930E9D"/>
    <w:rsid w:val="00954E3C"/>
    <w:rsid w:val="00981E17"/>
    <w:rsid w:val="009D67A7"/>
    <w:rsid w:val="00A7420D"/>
    <w:rsid w:val="00AE47EB"/>
    <w:rsid w:val="00B93137"/>
    <w:rsid w:val="00C64995"/>
    <w:rsid w:val="00C76625"/>
    <w:rsid w:val="00CE296D"/>
    <w:rsid w:val="00D1777F"/>
    <w:rsid w:val="00D2233E"/>
    <w:rsid w:val="00DD2C1D"/>
    <w:rsid w:val="00DF05BC"/>
    <w:rsid w:val="00DF457F"/>
    <w:rsid w:val="00E505B6"/>
    <w:rsid w:val="00E5107C"/>
    <w:rsid w:val="00E76E46"/>
    <w:rsid w:val="00E84656"/>
    <w:rsid w:val="00EC4E66"/>
    <w:rsid w:val="00ED4FDA"/>
    <w:rsid w:val="00F07BD1"/>
    <w:rsid w:val="00F31F5E"/>
    <w:rsid w:val="00F44843"/>
    <w:rsid w:val="00F479DE"/>
    <w:rsid w:val="00F9581B"/>
    <w:rsid w:val="00FA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ru v:ext="edit" colors="#8f2b63,#f7f7f7,#8b2963,#780b5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25B5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F0406"/>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styleId="Header">
    <w:name w:val="header"/>
    <w:basedOn w:val="Normal"/>
    <w:rsid w:val="00FF0406"/>
    <w:pPr>
      <w:tabs>
        <w:tab w:val="center" w:pos="4320"/>
        <w:tab w:val="right" w:pos="8640"/>
      </w:tabs>
    </w:pPr>
  </w:style>
  <w:style w:type="paragraph" w:styleId="Footer">
    <w:name w:val="footer"/>
    <w:basedOn w:val="Normal"/>
    <w:semiHidden/>
    <w:rsid w:val="00FF0406"/>
    <w:pPr>
      <w:tabs>
        <w:tab w:val="center" w:pos="4320"/>
        <w:tab w:val="right" w:pos="8640"/>
      </w:tabs>
    </w:pPr>
  </w:style>
  <w:style w:type="paragraph" w:styleId="ListParagraph">
    <w:name w:val="List Paragraph"/>
    <w:basedOn w:val="Normal"/>
    <w:link w:val="ListParagraphChar"/>
    <w:uiPriority w:val="34"/>
    <w:qFormat/>
    <w:rsid w:val="00C7662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C76625"/>
    <w:rPr>
      <w:rFonts w:ascii="Calibri" w:eastAsia="Calibri" w:hAnsi="Calibri"/>
      <w:sz w:val="20"/>
      <w:szCs w:val="20"/>
    </w:rPr>
  </w:style>
  <w:style w:type="character" w:customStyle="1" w:styleId="FootnoteTextChar">
    <w:name w:val="Footnote Text Char"/>
    <w:link w:val="FootnoteText"/>
    <w:uiPriority w:val="99"/>
    <w:rsid w:val="00C76625"/>
    <w:rPr>
      <w:rFonts w:ascii="Calibri" w:eastAsia="Calibri" w:hAnsi="Calibri"/>
      <w:lang w:eastAsia="en-US"/>
    </w:rPr>
  </w:style>
  <w:style w:type="character" w:styleId="FootnoteReference">
    <w:name w:val="footnote reference"/>
    <w:uiPriority w:val="99"/>
    <w:unhideWhenUsed/>
    <w:rsid w:val="00C76625"/>
    <w:rPr>
      <w:vertAlign w:val="superscript"/>
    </w:rPr>
  </w:style>
  <w:style w:type="table" w:styleId="TableGrid">
    <w:name w:val="Table Grid"/>
    <w:basedOn w:val="TableNormal"/>
    <w:uiPriority w:val="59"/>
    <w:rsid w:val="00C76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125B54"/>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125B54"/>
    <w:pPr>
      <w:keepLines/>
      <w:spacing w:before="480" w:after="0" w:line="276" w:lineRule="auto"/>
      <w:outlineLvl w:val="9"/>
    </w:pPr>
    <w:rPr>
      <w:rFonts w:asciiTheme="majorHAnsi" w:eastAsiaTheme="majorEastAsia" w:hAnsiTheme="majorHAnsi" w:cstheme="majorBidi"/>
      <w:color w:val="365F91"/>
      <w:kern w:val="0"/>
      <w:sz w:val="28"/>
      <w:szCs w:val="28"/>
      <w:lang w:val="en-US" w:eastAsia="ja-JP"/>
    </w:rPr>
  </w:style>
  <w:style w:type="paragraph" w:styleId="TOC1">
    <w:name w:val="toc 1"/>
    <w:basedOn w:val="Normal"/>
    <w:next w:val="Normal"/>
    <w:autoRedefine/>
    <w:uiPriority w:val="39"/>
    <w:rsid w:val="00ED4FDA"/>
    <w:pPr>
      <w:tabs>
        <w:tab w:val="left" w:pos="440"/>
        <w:tab w:val="right" w:leader="dot" w:pos="9337"/>
      </w:tabs>
    </w:pPr>
  </w:style>
  <w:style w:type="character" w:styleId="Hyperlink">
    <w:name w:val="Hyperlink"/>
    <w:uiPriority w:val="99"/>
    <w:unhideWhenUsed/>
    <w:rsid w:val="00125B54"/>
    <w:rPr>
      <w:color w:val="0000FF"/>
      <w:u w:val="single"/>
    </w:rPr>
  </w:style>
  <w:style w:type="character" w:customStyle="1" w:styleId="ListParagraphChar">
    <w:name w:val="List Paragraph Char"/>
    <w:link w:val="ListParagraph"/>
    <w:uiPriority w:val="34"/>
    <w:locked/>
    <w:rsid w:val="00125B54"/>
    <w:rPr>
      <w:rFonts w:ascii="Calibri" w:eastAsia="Calibri" w:hAnsi="Calibri"/>
      <w:sz w:val="22"/>
      <w:szCs w:val="22"/>
      <w:lang w:eastAsia="en-US"/>
    </w:rPr>
  </w:style>
  <w:style w:type="paragraph" w:styleId="BalloonText">
    <w:name w:val="Balloon Text"/>
    <w:basedOn w:val="Normal"/>
    <w:link w:val="BalloonTextChar"/>
    <w:rsid w:val="00DF457F"/>
    <w:rPr>
      <w:rFonts w:ascii="Tahoma" w:hAnsi="Tahoma" w:cs="Tahoma"/>
      <w:sz w:val="16"/>
      <w:szCs w:val="16"/>
    </w:rPr>
  </w:style>
  <w:style w:type="character" w:customStyle="1" w:styleId="BalloonTextChar">
    <w:name w:val="Balloon Text Char"/>
    <w:basedOn w:val="DefaultParagraphFont"/>
    <w:link w:val="BalloonText"/>
    <w:rsid w:val="00DF457F"/>
    <w:rPr>
      <w:rFonts w:ascii="Tahoma" w:hAnsi="Tahoma" w:cs="Tahoma"/>
      <w:sz w:val="16"/>
      <w:szCs w:val="16"/>
      <w:lang w:eastAsia="en-US"/>
    </w:rPr>
  </w:style>
  <w:style w:type="character" w:styleId="CommentReference">
    <w:name w:val="annotation reference"/>
    <w:basedOn w:val="DefaultParagraphFont"/>
    <w:rsid w:val="00E76E46"/>
    <w:rPr>
      <w:sz w:val="16"/>
      <w:szCs w:val="16"/>
    </w:rPr>
  </w:style>
  <w:style w:type="paragraph" w:styleId="CommentText">
    <w:name w:val="annotation text"/>
    <w:basedOn w:val="Normal"/>
    <w:link w:val="CommentTextChar"/>
    <w:rsid w:val="00E76E46"/>
    <w:rPr>
      <w:sz w:val="20"/>
      <w:szCs w:val="20"/>
    </w:rPr>
  </w:style>
  <w:style w:type="character" w:customStyle="1" w:styleId="CommentTextChar">
    <w:name w:val="Comment Text Char"/>
    <w:basedOn w:val="DefaultParagraphFont"/>
    <w:link w:val="CommentText"/>
    <w:rsid w:val="00E76E46"/>
    <w:rPr>
      <w:lang w:eastAsia="en-US"/>
    </w:rPr>
  </w:style>
  <w:style w:type="paragraph" w:styleId="CommentSubject">
    <w:name w:val="annotation subject"/>
    <w:basedOn w:val="CommentText"/>
    <w:next w:val="CommentText"/>
    <w:link w:val="CommentSubjectChar"/>
    <w:rsid w:val="00E76E46"/>
    <w:rPr>
      <w:b/>
      <w:bCs/>
    </w:rPr>
  </w:style>
  <w:style w:type="character" w:customStyle="1" w:styleId="CommentSubjectChar">
    <w:name w:val="Comment Subject Char"/>
    <w:basedOn w:val="CommentTextChar"/>
    <w:link w:val="CommentSubject"/>
    <w:rsid w:val="00E76E46"/>
    <w:rPr>
      <w:b/>
      <w:bCs/>
      <w:lang w:eastAsia="en-US"/>
    </w:rPr>
  </w:style>
  <w:style w:type="paragraph" w:customStyle="1" w:styleId="SusansHeading">
    <w:name w:val="Susans Heading"/>
    <w:basedOn w:val="Header"/>
    <w:rsid w:val="006C7076"/>
    <w:pPr>
      <w:tabs>
        <w:tab w:val="clear" w:pos="4320"/>
        <w:tab w:val="clear" w:pos="8640"/>
        <w:tab w:val="center" w:pos="4153"/>
        <w:tab w:val="right" w:pos="8306"/>
      </w:tabs>
    </w:pPr>
    <w:rPr>
      <w:rFonts w:ascii="Tahoma" w:hAnsi="Tahoma"/>
      <w:b/>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8/12/contents/enacted" TargetMode="External"/><Relationship Id="rId18" Type="http://schemas.openxmlformats.org/officeDocument/2006/relationships/hyperlink" Target="https://ico.org.uk/for-organisations/guide-to-the-general-data-protection-regulation-gdpr/individual-rights/right-to-eras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individual-rights/right-to-object/" TargetMode="External"/><Relationship Id="rId7" Type="http://schemas.openxmlformats.org/officeDocument/2006/relationships/footnotes" Target="footnotes.xml"/><Relationship Id="rId12" Type="http://schemas.openxmlformats.org/officeDocument/2006/relationships/hyperlink" Target="mailto:DataProtectionOfficer@justice-ni.x.gsi.gov.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data-port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justice-ni.gov.uk/sites/default/files/publications/doj/retention-and-disposal-schedule-final-signed-copy.pdf" TargetMode="External"/><Relationship Id="rId23" Type="http://schemas.openxmlformats.org/officeDocument/2006/relationships/hyperlink" Target="mailto:casework@ico.org.uk" TargetMode="External"/><Relationship Id="rId10" Type="http://schemas.openxmlformats.org/officeDocument/2006/relationships/footer" Target="footer1.xml"/><Relationship Id="rId19" Type="http://schemas.openxmlformats.org/officeDocument/2006/relationships/hyperlink" Target="https://ico.org.uk/for-organisations/guide-to-the-general-data-protection-regulation-gdpr/individual-rights/right-to-restrict-process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gdpr-info.eu/art-6-gdpr/" TargetMode="External"/><Relationship Id="rId22" Type="http://schemas.openxmlformats.org/officeDocument/2006/relationships/hyperlink" Target="https://ico.org.uk/for-organisations/guide-to-the-general-data-protection-regulation-gdpr/individual-rights/rights-related-to-automated-decision-making-including-profi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5968-EB9D-4748-8C4C-DBE44228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2963</Words>
  <Characters>17747</Characters>
  <Application>Microsoft Office Word</Application>
  <DocSecurity>0</DocSecurity>
  <Lines>385</Lines>
  <Paragraphs>142</Paragraphs>
  <ScaleCrop>false</ScaleCrop>
  <HeadingPairs>
    <vt:vector size="2" baseType="variant">
      <vt:variant>
        <vt:lpstr>Title</vt:lpstr>
      </vt:variant>
      <vt:variant>
        <vt:i4>1</vt:i4>
      </vt:variant>
    </vt:vector>
  </HeadingPairs>
  <TitlesOfParts>
    <vt:vector size="1" baseType="lpstr">
      <vt:lpstr>Mr Name Surname</vt:lpstr>
    </vt:vector>
  </TitlesOfParts>
  <Company>NIO ISD Division</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Name Surname</dc:title>
  <dc:subject/>
  <dc:creator>Richard McCullough</dc:creator>
  <cp:keywords/>
  <cp:lastModifiedBy>Foster, Lesley</cp:lastModifiedBy>
  <cp:revision>25</cp:revision>
  <cp:lastPrinted>2020-03-11T15:16:00Z</cp:lastPrinted>
  <dcterms:created xsi:type="dcterms:W3CDTF">2019-10-23T10:23:00Z</dcterms:created>
  <dcterms:modified xsi:type="dcterms:W3CDTF">2020-03-11T15:45:00Z</dcterms:modified>
</cp:coreProperties>
</file>